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sz w:val="32"/>
          <w:szCs w:val="32"/>
          <w:rtl/>
        </w:rPr>
      </w:pPr>
      <w:r>
        <w:rPr>
          <w:rFonts w:cs="Arial"/>
          <w:sz w:val="32"/>
          <w:szCs w:val="32"/>
          <w:rtl/>
        </w:rPr>
        <w:t xml:space="preserve">درس الفقه </w:t>
      </w:r>
      <w:r>
        <w:rPr>
          <w:rFonts w:cs="Arial"/>
          <w:sz w:val="32"/>
          <w:szCs w:val="32"/>
          <w:rtl/>
        </w:rPr>
        <w:t>3 ذو الحجة</w:t>
      </w:r>
      <w:r>
        <w:rPr>
          <w:rFonts w:cs="Arial"/>
          <w:sz w:val="32"/>
          <w:szCs w:val="32"/>
          <w:rtl/>
        </w:rPr>
        <w:t xml:space="preserve"> 1447هـ‏</w:t>
      </w:r>
    </w:p>
    <w:p>
      <w:pPr>
        <w:jc w:val="center"/>
        <w:rPr>
          <w:sz w:val="32"/>
          <w:szCs w:val="32"/>
          <w:rtl/>
        </w:rPr>
      </w:pPr>
      <w:r>
        <w:rPr>
          <w:rFonts w:cs="Arial"/>
          <w:sz w:val="32"/>
          <w:szCs w:val="32"/>
          <w:rtl/>
        </w:rPr>
        <w:t>الأربعاء</w:t>
      </w:r>
      <w:r>
        <w:rPr>
          <w:rFonts w:cs="Arial"/>
          <w:sz w:val="32"/>
          <w:szCs w:val="32"/>
          <w:rtl/>
        </w:rPr>
        <w:t xml:space="preserve"> </w:t>
      </w:r>
      <w:r>
        <w:rPr>
          <w:rFonts w:cs="Arial"/>
          <w:sz w:val="32"/>
          <w:szCs w:val="32"/>
          <w:rtl/>
        </w:rPr>
        <w:t xml:space="preserve">20 </w:t>
      </w:r>
      <w:r>
        <w:rPr>
          <w:rFonts w:cs="Arial"/>
          <w:sz w:val="32"/>
          <w:szCs w:val="32"/>
        </w:rPr>
        <w:t>ايار</w:t>
      </w:r>
      <w:bookmarkStart w:id="0" w:name="_GoBack"/>
      <w:bookmarkEnd w:id="0"/>
      <w:r>
        <w:rPr>
          <w:rFonts w:cs="Arial"/>
          <w:sz w:val="32"/>
          <w:szCs w:val="32"/>
          <w:rtl/>
        </w:rPr>
        <w:t xml:space="preserve"> 2026‏ م</w:t>
      </w:r>
    </w:p>
    <w:p>
      <w:pPr>
        <w:jc w:val="center"/>
        <w:rPr>
          <w:sz w:val="32"/>
          <w:szCs w:val="32"/>
          <w:rtl/>
        </w:rPr>
      </w:pPr>
      <w:r>
        <w:rPr>
          <w:rFonts w:cs="Arial"/>
          <w:sz w:val="32"/>
          <w:szCs w:val="32"/>
        </w:rPr>
        <w:t xml:space="preserve">الموضوع: </w:t>
      </w:r>
      <w:r>
        <w:rPr>
          <w:rFonts w:cs="Arial"/>
          <w:sz w:val="32"/>
          <w:szCs w:val="32"/>
          <w:rtl/>
        </w:rPr>
        <w:t xml:space="preserve">مكان المصلي: </w:t>
      </w:r>
      <w:r>
        <w:rPr>
          <w:rFonts w:cs="Arial"/>
          <w:sz w:val="32"/>
          <w:szCs w:val="32"/>
          <w:rtl/>
        </w:rPr>
        <w:t>الأماكن المكروهة في الصلاة</w:t>
      </w:r>
    </w:p>
    <w:p>
      <w:pPr>
        <w:jc w:val="center"/>
        <w:rPr>
          <w:rFonts w:cs="Arial"/>
          <w:sz w:val="32"/>
          <w:szCs w:val="32"/>
          <w:rtl/>
        </w:rPr>
      </w:pPr>
      <w:r>
        <w:rPr>
          <w:rFonts w:cs="Arial"/>
          <w:sz w:val="32"/>
          <w:szCs w:val="32"/>
          <w:rtl/>
        </w:rPr>
        <w:t>بسم الله الرحمن الرحيم</w:t>
      </w:r>
    </w:p>
    <w:p>
      <w:pPr>
        <w:rPr>
          <w:sz w:val="32"/>
          <w:szCs w:val="32"/>
          <w:rtl/>
        </w:rPr>
      </w:pPr>
      <w:r>
        <w:rPr>
          <w:sz w:val="32"/>
          <w:szCs w:val="32"/>
          <w:rtl/>
        </w:rPr>
        <w:t>ذكرنا فيما مضى من الدروس بعض المواضع المكروه الصلاة فيها.</w:t>
      </w:r>
    </w:p>
    <w:p>
      <w:pPr>
        <w:rPr>
          <w:sz w:val="32"/>
          <w:szCs w:val="32"/>
          <w:rtl/>
        </w:rPr>
      </w:pPr>
      <w:r>
        <w:rPr>
          <w:sz w:val="32"/>
          <w:szCs w:val="32"/>
          <w:rtl/>
        </w:rPr>
        <w:t>اليوم نذكر بعض الأدلة التي سيقت في المقام.</w:t>
      </w:r>
    </w:p>
    <w:p>
      <w:pPr>
        <w:rPr>
          <w:sz w:val="32"/>
          <w:szCs w:val="32"/>
          <w:rtl/>
        </w:rPr>
      </w:pPr>
      <w:r>
        <w:rPr>
          <w:sz w:val="32"/>
          <w:szCs w:val="32"/>
          <w:rtl/>
        </w:rPr>
        <w:t xml:space="preserve">أما بالنسبة للحمام فقد ذكر الشيخ الحر في وسائله </w:t>
      </w:r>
      <w:r>
        <w:rPr>
          <w:sz w:val="32"/>
          <w:szCs w:val="32"/>
          <w:rtl/>
        </w:rPr>
        <w:t>الرواية الرابعة من الباب</w:t>
      </w:r>
      <w:r>
        <w:rPr>
          <w:sz w:val="32"/>
          <w:szCs w:val="32"/>
          <w:rtl/>
        </w:rPr>
        <w:t xml:space="preserve"> </w:t>
      </w:r>
      <w:r>
        <w:rPr>
          <w:sz w:val="32"/>
          <w:szCs w:val="32"/>
          <w:rtl/>
        </w:rPr>
        <w:t>الأول من أبواب مكان المصلي</w:t>
      </w:r>
      <w:r>
        <w:rPr>
          <w:sz w:val="32"/>
          <w:szCs w:val="32"/>
        </w:rPr>
        <w:t>:</w:t>
      </w:r>
      <w:r>
        <w:rPr>
          <w:sz w:val="32"/>
          <w:szCs w:val="32"/>
          <w:rtl/>
        </w:rPr>
        <w:t xml:space="preserve"> </w:t>
      </w:r>
    </w:p>
    <w:p>
      <w:pPr>
        <w:rPr>
          <w:sz w:val="32"/>
          <w:szCs w:val="32"/>
        </w:rPr>
      </w:pPr>
      <w:r>
        <w:rPr>
          <w:sz w:val="32"/>
          <w:szCs w:val="32"/>
          <w:rtl/>
        </w:rPr>
        <w:t xml:space="preserve">رواها الشيخ بإسناده عن محمد بن علي بن محبوب عن العباس عن صفوان عن القاسم بن محمد عن سليمان، </w:t>
      </w:r>
      <w:r>
        <w:rPr>
          <w:b/>
          <w:bCs/>
          <w:sz w:val="32"/>
          <w:szCs w:val="32"/>
          <w:rtl/>
        </w:rPr>
        <w:t>عن عبيد بن زرارة قال: سمعت أبا عبد الله (ع) يقول: الأرض كلها مسجد إلا بئر غائط أو مقبرة أو حمام</w:t>
      </w:r>
      <w:r>
        <w:rPr>
          <w:b/>
          <w:bCs/>
          <w:sz w:val="32"/>
          <w:szCs w:val="32"/>
        </w:rPr>
        <w:t>.</w:t>
      </w:r>
    </w:p>
    <w:p>
      <w:pPr>
        <w:rPr>
          <w:sz w:val="32"/>
          <w:szCs w:val="32"/>
          <w:rtl/>
        </w:rPr>
      </w:pPr>
      <w:r>
        <w:rPr>
          <w:sz w:val="32"/>
          <w:szCs w:val="32"/>
          <w:rtl/>
        </w:rPr>
        <w:t>هذه الرواية المعتبرة تدل على عدم جواز الصلاة في الحمام.</w:t>
      </w:r>
    </w:p>
    <w:p>
      <w:pPr>
        <w:rPr>
          <w:sz w:val="32"/>
          <w:szCs w:val="32"/>
        </w:rPr>
      </w:pPr>
      <w:r>
        <w:rPr>
          <w:sz w:val="32"/>
          <w:szCs w:val="32"/>
          <w:rtl/>
        </w:rPr>
        <w:t xml:space="preserve">الرواية </w:t>
      </w:r>
      <w:r>
        <w:rPr>
          <w:sz w:val="32"/>
          <w:szCs w:val="32"/>
          <w:rtl/>
        </w:rPr>
        <w:t>الأولى</w:t>
      </w:r>
      <w:r>
        <w:rPr>
          <w:sz w:val="32"/>
          <w:szCs w:val="32"/>
          <w:rtl/>
        </w:rPr>
        <w:t xml:space="preserve"> من الباب الرابع والثلاثين من أبواب مكان المصلي</w:t>
      </w:r>
      <w:r>
        <w:rPr>
          <w:sz w:val="32"/>
          <w:szCs w:val="32"/>
        </w:rPr>
        <w:t>:</w:t>
      </w:r>
    </w:p>
    <w:p>
      <w:pPr>
        <w:rPr>
          <w:rFonts w:cs="Arial"/>
          <w:b/>
          <w:bCs/>
          <w:sz w:val="32"/>
          <w:szCs w:val="32"/>
          <w:rtl/>
        </w:rPr>
      </w:pPr>
      <w:r>
        <w:rPr>
          <w:rFonts w:cs="Arial"/>
          <w:b/>
          <w:bCs/>
          <w:sz w:val="32"/>
          <w:szCs w:val="32"/>
          <w:rtl/>
        </w:rPr>
        <w:t>محمد بن علي بن الحسين بإسناده، عن علي بن جعفر أنه سأل</w:t>
      </w:r>
      <w:r>
        <w:rPr>
          <w:rFonts w:cs="Arial"/>
          <w:b/>
          <w:bCs/>
          <w:sz w:val="32"/>
          <w:szCs w:val="32"/>
          <w:rtl/>
        </w:rPr>
        <w:t xml:space="preserve"> </w:t>
      </w:r>
      <w:r>
        <w:rPr>
          <w:rFonts w:cs="Arial"/>
          <w:b/>
          <w:bCs/>
          <w:sz w:val="32"/>
          <w:szCs w:val="32"/>
          <w:rtl/>
        </w:rPr>
        <w:t>أخاه موسى ابن جعفر (عليه السلام) عن الصلاة في بيت الحمام؟ فقال: إذا</w:t>
      </w:r>
      <w:r>
        <w:rPr>
          <w:rFonts w:cs="Arial"/>
          <w:b/>
          <w:bCs/>
          <w:sz w:val="32"/>
          <w:szCs w:val="32"/>
          <w:rtl/>
        </w:rPr>
        <w:t xml:space="preserve"> </w:t>
      </w:r>
      <w:r>
        <w:rPr>
          <w:rFonts w:cs="Arial"/>
          <w:b/>
          <w:bCs/>
          <w:sz w:val="32"/>
          <w:szCs w:val="32"/>
          <w:rtl/>
        </w:rPr>
        <w:t>كان الموضع نظيفا</w:t>
      </w:r>
      <w:r>
        <w:rPr>
          <w:rFonts w:cs="Arial"/>
          <w:b/>
          <w:bCs/>
          <w:sz w:val="32"/>
          <w:szCs w:val="32"/>
          <w:rtl/>
        </w:rPr>
        <w:t>ً</w:t>
      </w:r>
      <w:r>
        <w:rPr>
          <w:rFonts w:cs="Arial"/>
          <w:b/>
          <w:bCs/>
          <w:sz w:val="32"/>
          <w:szCs w:val="32"/>
          <w:rtl/>
        </w:rPr>
        <w:t xml:space="preserve"> فلا بأس، يعني المسلخ.</w:t>
      </w:r>
    </w:p>
    <w:p>
      <w:pPr>
        <w:rPr>
          <w:sz w:val="32"/>
          <w:szCs w:val="32"/>
          <w:rtl/>
        </w:rPr>
      </w:pPr>
      <w:r>
        <w:rPr>
          <w:sz w:val="32"/>
          <w:szCs w:val="32"/>
          <w:rtl/>
        </w:rPr>
        <w:t>والظاهر أن عبارة (يعني المسلخ) ليست من كلام الإمام (ع) بل توضيح من الشيخ الصدوق ومن عاداته ذلك كما أفاد السيد الأعظم.</w:t>
      </w:r>
    </w:p>
    <w:p>
      <w:pPr>
        <w:rPr>
          <w:sz w:val="32"/>
          <w:szCs w:val="32"/>
          <w:rtl/>
        </w:rPr>
      </w:pPr>
      <w:r>
        <w:rPr>
          <w:sz w:val="32"/>
          <w:szCs w:val="32"/>
          <w:rtl/>
        </w:rPr>
        <w:t xml:space="preserve">الرواية الثانية من نفس الباب: </w:t>
      </w:r>
    </w:p>
    <w:p>
      <w:pPr>
        <w:rPr>
          <w:sz w:val="32"/>
          <w:szCs w:val="32"/>
        </w:rPr>
      </w:pPr>
      <w:r>
        <w:rPr>
          <w:sz w:val="32"/>
          <w:szCs w:val="32"/>
          <w:rtl/>
        </w:rPr>
        <w:t xml:space="preserve">محمد بن الحسن في الاستبصار بإسناده، عن محمد بن علي بن محبوب، عن علي بن خالد، عن أحمد بن الحسن، عن عمرو بن سعيد، عن مصدق، </w:t>
      </w:r>
      <w:r>
        <w:rPr>
          <w:b/>
          <w:bCs/>
          <w:sz w:val="32"/>
          <w:szCs w:val="32"/>
          <w:rtl/>
        </w:rPr>
        <w:t>عن عمار قال: سألت أبا عبد الله (عليه السلام) عن الصلاة في بيت الحمام قال: إذا كان موضعاً نظيفاً فلا بأس</w:t>
      </w:r>
      <w:r>
        <w:rPr>
          <w:b/>
          <w:bCs/>
          <w:sz w:val="32"/>
          <w:szCs w:val="32"/>
        </w:rPr>
        <w:t>.</w:t>
      </w:r>
    </w:p>
    <w:p>
      <w:pPr>
        <w:rPr>
          <w:sz w:val="32"/>
          <w:szCs w:val="32"/>
          <w:rtl/>
        </w:rPr>
      </w:pPr>
      <w:r>
        <w:rPr>
          <w:sz w:val="32"/>
          <w:szCs w:val="32"/>
          <w:rtl/>
        </w:rPr>
        <w:t>مقتضى القاعدة بين الرواية المانعة من الصلاة في الحمام وبين المجوزة هو التعارض فالتساقط، ولكن فَهْم الفقهاء أثّر في هذا المورد فعدلوا عن هذه القاعدة وحملوا النهي على الكراهة باعتبار ابتلاء الناس واحتياجهم إلى الصلاة وهم في الحمام.</w:t>
      </w:r>
    </w:p>
    <w:p>
      <w:pPr>
        <w:rPr>
          <w:sz w:val="32"/>
          <w:szCs w:val="32"/>
          <w:rtl/>
        </w:rPr>
      </w:pPr>
      <w:r>
        <w:rPr>
          <w:sz w:val="32"/>
          <w:szCs w:val="32"/>
          <w:rtl/>
        </w:rPr>
        <w:t xml:space="preserve"> وبعض الفقهاء فسر الحمام الوارد في الروايات المجوزة للصلاة في الحمام بالمسلخ، وهذا غير واضح على خادم الطلبة، والوجه في ذلك أن نفس المسلخ ليس مكان نجاسة أو وسخ ونحو ذلك من الموانع، والإمام عليه السلام ذكر هذا القيد: (إذا كان نظيفاً) فلا مانع من الصلاة فيه.</w:t>
      </w:r>
    </w:p>
    <w:p>
      <w:pPr>
        <w:rPr>
          <w:sz w:val="32"/>
          <w:szCs w:val="32"/>
          <w:rtl/>
        </w:rPr>
      </w:pPr>
      <w:r>
        <w:rPr>
          <w:sz w:val="32"/>
          <w:szCs w:val="32"/>
          <w:rtl/>
        </w:rPr>
        <w:t xml:space="preserve"> فنفس هذا القيد يقتضي أن يكون المقام متعرضاً عادة إلى النجاسة وإلا أي لو كان المقصود فيها هو المسلخ لما احتاج الإمام (ع) إلى قيد.</w:t>
      </w:r>
    </w:p>
    <w:p>
      <w:pPr>
        <w:rPr>
          <w:sz w:val="32"/>
          <w:szCs w:val="32"/>
          <w:rtl/>
        </w:rPr>
      </w:pPr>
      <w:r>
        <w:rPr>
          <w:sz w:val="32"/>
          <w:szCs w:val="32"/>
          <w:rtl/>
        </w:rPr>
        <w:t>ثم هناك مطلب آخر في موضع النجس مطلقاً لا تصح الصلاة مع تعدي النجاسة إلى جسم المصلي، فمن التقييد بالنظافة نفهم أن المقصود هو المغتسل لا المسلخ إن شاء الله تعالى، وهذا تمام كلامنا في هذه المسألة.</w:t>
      </w:r>
    </w:p>
    <w:p>
      <w:pPr>
        <w:rPr>
          <w:sz w:val="32"/>
          <w:szCs w:val="32"/>
          <w:rtl/>
        </w:rPr>
      </w:pPr>
      <w:r>
        <w:rPr>
          <w:sz w:val="32"/>
          <w:szCs w:val="32"/>
          <w:rtl/>
        </w:rPr>
        <w:t>وأما الصلاة في مرابض الغنم ومعاطن الإبل، ففي المقام رواية مجوزة:</w:t>
      </w:r>
    </w:p>
    <w:p>
      <w:pPr>
        <w:rPr>
          <w:sz w:val="32"/>
          <w:szCs w:val="32"/>
          <w:rtl/>
        </w:rPr>
      </w:pPr>
      <w:r>
        <w:rPr>
          <w:sz w:val="32"/>
          <w:szCs w:val="32"/>
          <w:rtl/>
        </w:rPr>
        <w:t>الرواية الثانية من الباب السابع عشر من أبواب مكان المصلي:</w:t>
      </w:r>
    </w:p>
    <w:p>
      <w:pPr>
        <w:rPr>
          <w:rFonts w:cs="Arial"/>
          <w:sz w:val="32"/>
          <w:szCs w:val="32"/>
          <w:rtl/>
        </w:rPr>
      </w:pPr>
      <w:r>
        <w:rPr>
          <w:sz w:val="32"/>
          <w:szCs w:val="32"/>
          <w:rtl/>
        </w:rPr>
        <w:t xml:space="preserve"> </w:t>
      </w:r>
      <w:r>
        <w:rPr>
          <w:rFonts w:cs="Arial"/>
          <w:sz w:val="32"/>
          <w:szCs w:val="32"/>
          <w:rtl/>
        </w:rPr>
        <w:t>عن علي بن إبراهيم، عن أبيه، عن ابن أبي عمير، عن</w:t>
      </w:r>
      <w:r>
        <w:rPr>
          <w:rFonts w:cs="Arial"/>
          <w:sz w:val="32"/>
          <w:szCs w:val="32"/>
          <w:rtl/>
        </w:rPr>
        <w:t xml:space="preserve"> </w:t>
      </w:r>
      <w:r>
        <w:rPr>
          <w:rFonts w:cs="Arial"/>
          <w:sz w:val="32"/>
          <w:szCs w:val="32"/>
          <w:rtl/>
        </w:rPr>
        <w:t xml:space="preserve">حماد، </w:t>
      </w:r>
      <w:r>
        <w:rPr>
          <w:rFonts w:cs="Arial"/>
          <w:b/>
          <w:bCs/>
          <w:sz w:val="32"/>
          <w:szCs w:val="32"/>
          <w:rtl/>
        </w:rPr>
        <w:t>عن الحلبي عن أبي عبد الله (عليه السلام) قال: سألته عن الصلاة</w:t>
      </w:r>
      <w:r>
        <w:rPr>
          <w:rFonts w:cs="Arial"/>
          <w:b/>
          <w:bCs/>
          <w:sz w:val="32"/>
          <w:szCs w:val="32"/>
          <w:rtl/>
        </w:rPr>
        <w:t xml:space="preserve"> </w:t>
      </w:r>
      <w:r>
        <w:rPr>
          <w:rFonts w:cs="Arial"/>
          <w:b/>
          <w:bCs/>
          <w:sz w:val="32"/>
          <w:szCs w:val="32"/>
          <w:rtl/>
        </w:rPr>
        <w:t>في مرابض الغنم فقال: صل فيها، ولا تصل في أعطان الإبل إلا أن تخاف</w:t>
      </w:r>
      <w:r>
        <w:rPr>
          <w:rFonts w:cs="Arial"/>
          <w:b/>
          <w:bCs/>
          <w:sz w:val="32"/>
          <w:szCs w:val="32"/>
          <w:rtl/>
        </w:rPr>
        <w:t xml:space="preserve"> </w:t>
      </w:r>
      <w:r>
        <w:rPr>
          <w:rFonts w:cs="Arial"/>
          <w:b/>
          <w:bCs/>
          <w:sz w:val="32"/>
          <w:szCs w:val="32"/>
          <w:rtl/>
        </w:rPr>
        <w:t>على متاعك الضيعة فاكنسه ورشه بالماء وصل فيه</w:t>
      </w:r>
      <w:r>
        <w:rPr>
          <w:rFonts w:cs="Arial"/>
          <w:b/>
          <w:bCs/>
          <w:sz w:val="32"/>
          <w:szCs w:val="32"/>
          <w:rtl/>
        </w:rPr>
        <w:t>.</w:t>
      </w:r>
    </w:p>
    <w:p>
      <w:pPr>
        <w:rPr>
          <w:sz w:val="32"/>
          <w:szCs w:val="32"/>
          <w:rtl/>
        </w:rPr>
      </w:pPr>
      <w:r>
        <w:rPr>
          <w:sz w:val="32"/>
          <w:szCs w:val="32"/>
          <w:rtl/>
        </w:rPr>
        <w:t>بعض الفقهاء فهم أنه برش الماء وجفافه ينتفي حكم الكراهة، فجلعوا سبب الكراهة من جهة الوسخ، ولكن لو تم ما قالوه فكيف جوز الإمام (ع) الصلاة في مرابض الغنم؟ مع أنها عادة غير نظيفة.</w:t>
      </w:r>
    </w:p>
    <w:p>
      <w:pPr>
        <w:rPr>
          <w:sz w:val="32"/>
          <w:szCs w:val="32"/>
          <w:rtl/>
        </w:rPr>
      </w:pPr>
      <w:r>
        <w:rPr>
          <w:sz w:val="32"/>
          <w:szCs w:val="32"/>
          <w:rtl/>
        </w:rPr>
        <w:t>ولكن الذي يبدو أن اشتداد النهي يخف بعد رش الماء وبعد جفاف المكان وبعد حاجة الإنسان إلى الصلاة في ذلك المكان وهنا يتحقق هذا المعنى، فتثبت الكراهة، وبناء على ما أفاده بعض الفقهاء فإن الكراهة ترتفع بمجرد التنظيف ورش الماء وجفافه.</w:t>
      </w:r>
    </w:p>
    <w:p>
      <w:pPr>
        <w:rPr>
          <w:sz w:val="32"/>
          <w:szCs w:val="32"/>
          <w:rtl/>
        </w:rPr>
      </w:pPr>
      <w:r>
        <w:rPr>
          <w:sz w:val="32"/>
          <w:szCs w:val="32"/>
          <w:rtl/>
        </w:rPr>
        <w:t>فالصحيح والعلم عند الله سبحانه أن النهي عن مواطن الإبل نهي تحريمي وهذا النهي التحريمي خفف إلى الكراهة إذا كان بعد الغسل وبعد جفاف المكان وإلا لو كان سبب الكراهة أو ارتفاع الكراهة هو الغسل ونحو ذلك لما جوز الإمام (ع) الصلاة في مرابض الغنم.</w:t>
      </w:r>
    </w:p>
    <w:p>
      <w:pPr>
        <w:rPr>
          <w:sz w:val="32"/>
          <w:szCs w:val="32"/>
          <w:rtl/>
        </w:rPr>
      </w:pPr>
      <w:r>
        <w:rPr>
          <w:sz w:val="32"/>
          <w:szCs w:val="32"/>
          <w:rtl/>
        </w:rPr>
        <w:t>الرواية الرابعة من نفس هذا الباب:</w:t>
      </w:r>
    </w:p>
    <w:p>
      <w:pPr>
        <w:rPr>
          <w:rFonts w:cs="Arial"/>
          <w:sz w:val="32"/>
          <w:szCs w:val="32"/>
          <w:rtl/>
        </w:rPr>
      </w:pPr>
      <w:r>
        <w:rPr>
          <w:sz w:val="32"/>
          <w:szCs w:val="32"/>
          <w:rtl/>
        </w:rPr>
        <w:t xml:space="preserve"> موثقة سماعة روى </w:t>
      </w:r>
      <w:r>
        <w:rPr>
          <w:rFonts w:cs="Arial"/>
          <w:sz w:val="32"/>
          <w:szCs w:val="32"/>
          <w:rtl/>
        </w:rPr>
        <w:t>الشيخ</w:t>
      </w:r>
      <w:r>
        <w:rPr>
          <w:rFonts w:cs="Arial"/>
          <w:sz w:val="32"/>
          <w:szCs w:val="32"/>
          <w:rtl/>
        </w:rPr>
        <w:t xml:space="preserve"> </w:t>
      </w:r>
      <w:r>
        <w:rPr>
          <w:rFonts w:cs="Arial"/>
          <w:sz w:val="32"/>
          <w:szCs w:val="32"/>
          <w:rtl/>
        </w:rPr>
        <w:t>بإسناده</w:t>
      </w:r>
      <w:r>
        <w:rPr>
          <w:rFonts w:cs="Arial"/>
          <w:sz w:val="32"/>
          <w:szCs w:val="32"/>
          <w:rtl/>
        </w:rPr>
        <w:t xml:space="preserve"> عن الحسين بن سعيد، عن الحسن،</w:t>
      </w:r>
      <w:r>
        <w:rPr>
          <w:rFonts w:cs="Arial"/>
          <w:sz w:val="32"/>
          <w:szCs w:val="32"/>
          <w:rtl/>
        </w:rPr>
        <w:t xml:space="preserve"> </w:t>
      </w:r>
      <w:r>
        <w:rPr>
          <w:rFonts w:cs="Arial"/>
          <w:sz w:val="32"/>
          <w:szCs w:val="32"/>
          <w:rtl/>
        </w:rPr>
        <w:t xml:space="preserve">عن زرعة، </w:t>
      </w:r>
      <w:r>
        <w:rPr>
          <w:rFonts w:cs="Arial"/>
          <w:b/>
          <w:bCs/>
          <w:sz w:val="32"/>
          <w:szCs w:val="32"/>
          <w:rtl/>
        </w:rPr>
        <w:t>عن سماعة قال: سألته عن الصلاة في أعطان الإبل وفي مرابض</w:t>
      </w:r>
      <w:r>
        <w:rPr>
          <w:rFonts w:cs="Arial"/>
          <w:b/>
          <w:bCs/>
          <w:sz w:val="32"/>
          <w:szCs w:val="32"/>
          <w:rtl/>
        </w:rPr>
        <w:t xml:space="preserve"> </w:t>
      </w:r>
      <w:r>
        <w:rPr>
          <w:rFonts w:cs="Arial"/>
          <w:b/>
          <w:bCs/>
          <w:sz w:val="32"/>
          <w:szCs w:val="32"/>
          <w:rtl/>
        </w:rPr>
        <w:t>البقر، والغنم؟ فقال: إن نضحته بالماء وقد كان يابسا</w:t>
      </w:r>
      <w:r>
        <w:rPr>
          <w:rFonts w:cs="Arial"/>
          <w:b/>
          <w:bCs/>
          <w:sz w:val="32"/>
          <w:szCs w:val="32"/>
          <w:rtl/>
        </w:rPr>
        <w:t>ً</w:t>
      </w:r>
      <w:r>
        <w:rPr>
          <w:rFonts w:cs="Arial"/>
          <w:b/>
          <w:bCs/>
          <w:sz w:val="32"/>
          <w:szCs w:val="32"/>
          <w:rtl/>
        </w:rPr>
        <w:t xml:space="preserve"> فلا بأس بالصلاة</w:t>
      </w:r>
      <w:r>
        <w:rPr>
          <w:rFonts w:cs="Arial"/>
          <w:b/>
          <w:bCs/>
          <w:sz w:val="32"/>
          <w:szCs w:val="32"/>
          <w:rtl/>
        </w:rPr>
        <w:t xml:space="preserve"> </w:t>
      </w:r>
      <w:r>
        <w:rPr>
          <w:rFonts w:cs="Arial"/>
          <w:b/>
          <w:bCs/>
          <w:sz w:val="32"/>
          <w:szCs w:val="32"/>
          <w:rtl/>
        </w:rPr>
        <w:t>فيها، فأما مرابض الخيل والبغال فلا.</w:t>
      </w:r>
    </w:p>
    <w:p>
      <w:pPr>
        <w:rPr>
          <w:sz w:val="32"/>
          <w:szCs w:val="32"/>
          <w:rtl/>
        </w:rPr>
      </w:pPr>
      <w:r>
        <w:rPr>
          <w:sz w:val="32"/>
          <w:szCs w:val="32"/>
          <w:rtl/>
        </w:rPr>
        <w:t>يعني أن مرابض الخيل والبغال لا يجوز الصلاة فيها، ومن هذا نفهم أن الحرمة قد تخفف إلى مرحلة الكراهة بالتفسير الذي ذكرناه قبل قليل.</w:t>
      </w:r>
    </w:p>
    <w:p>
      <w:pPr>
        <w:rPr>
          <w:sz w:val="32"/>
          <w:szCs w:val="32"/>
          <w:rtl/>
        </w:rPr>
      </w:pPr>
      <w:r>
        <w:rPr>
          <w:sz w:val="32"/>
          <w:szCs w:val="32"/>
          <w:rtl/>
        </w:rPr>
        <w:t>الرواية الأولى من نفس الباب:</w:t>
      </w:r>
    </w:p>
    <w:p>
      <w:pPr>
        <w:rPr>
          <w:rFonts w:cs="Arial"/>
          <w:b/>
          <w:bCs/>
          <w:sz w:val="32"/>
          <w:szCs w:val="32"/>
          <w:rtl/>
        </w:rPr>
      </w:pPr>
      <w:r>
        <w:rPr>
          <w:rFonts w:cs="Arial"/>
          <w:b/>
          <w:bCs/>
          <w:sz w:val="32"/>
          <w:szCs w:val="32"/>
          <w:rtl/>
        </w:rPr>
        <w:t>عن محمد بن مسلم قال: سألت أبا عبد الله (عليه</w:t>
      </w:r>
      <w:r>
        <w:rPr>
          <w:rFonts w:cs="Arial"/>
          <w:b/>
          <w:bCs/>
          <w:sz w:val="32"/>
          <w:szCs w:val="32"/>
          <w:rtl/>
        </w:rPr>
        <w:t xml:space="preserve"> </w:t>
      </w:r>
      <w:r>
        <w:rPr>
          <w:rFonts w:cs="Arial"/>
          <w:b/>
          <w:bCs/>
          <w:sz w:val="32"/>
          <w:szCs w:val="32"/>
          <w:rtl/>
        </w:rPr>
        <w:t>السلام) عن الصلاة في أعطان الإبل؟ قال: إن تخوفت الضيعة على متاعك</w:t>
      </w:r>
      <w:r>
        <w:rPr>
          <w:rFonts w:cs="Arial"/>
          <w:b/>
          <w:bCs/>
          <w:sz w:val="32"/>
          <w:szCs w:val="32"/>
          <w:rtl/>
        </w:rPr>
        <w:t xml:space="preserve"> </w:t>
      </w:r>
      <w:r>
        <w:rPr>
          <w:rFonts w:cs="Arial"/>
          <w:b/>
          <w:bCs/>
          <w:sz w:val="32"/>
          <w:szCs w:val="32"/>
          <w:rtl/>
        </w:rPr>
        <w:t>فاكنسه وانضحه وصل، ولا بأس بالصلاة في مرابض الغنم.</w:t>
      </w:r>
    </w:p>
    <w:p>
      <w:pPr>
        <w:rPr>
          <w:sz w:val="32"/>
          <w:szCs w:val="32"/>
          <w:rtl/>
        </w:rPr>
      </w:pPr>
      <w:r>
        <w:rPr>
          <w:sz w:val="32"/>
          <w:szCs w:val="32"/>
          <w:rtl/>
        </w:rPr>
        <w:t xml:space="preserve"> هذه أيضاً تدل على أن الصلاة في معاطن الإبل حرمتها ثابتة ولكنها تنزل إلى مرتبة الكراهة بعد رش الماء أو بعد الغسل وبعد الجفاف، أما مرابض الغنم فالإمام جوز ذلك.</w:t>
      </w:r>
    </w:p>
    <w:p>
      <w:pPr>
        <w:rPr>
          <w:sz w:val="32"/>
          <w:szCs w:val="32"/>
        </w:rPr>
      </w:pPr>
      <w:r>
        <w:rPr>
          <w:sz w:val="32"/>
          <w:szCs w:val="32"/>
          <w:rtl/>
        </w:rPr>
        <w:t xml:space="preserve"> فالنتيجة أنا نلتزم بهذين الحكمين بمقتضى تفسير خادمكم لهذه الروايات والحمد لله رب العالمين.</w:t>
      </w:r>
    </w:p>
    <w:sectPr>
      <w:pgSz w:w="11906" w:h="16838"/>
      <w:pgMar w:top="1440" w:right="1800" w:bottom="1440" w:left="180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23"/>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before="120" w:after="60" w:line="360" w:lineRule="auto"/>
      <w:ind w:firstLine="397"/>
      <w:jc w:val="both"/>
    </w:pPr>
    <w:rPr>
      <w:rFonts w:ascii="Times New Roman" w:eastAsia="Times New Roman" w:cs="Arial" w:hAnsi="Times New Roman"/>
      <w:spacing w:val="4"/>
      <w:sz w:val="24"/>
      <w:szCs w:val="36"/>
      <w:lang w:val="en-US" w:eastAsia="en-US" w:bidi="ar-SA"/>
    </w:rPr>
  </w:style>
  <w:style w:type="paragraph" w:styleId="1">
    <w:name w:val="heading 1"/>
    <w:basedOn w:val="0"/>
    <w:next w:val="0"/>
    <w:pPr>
      <w:keepNext/>
      <w:keepLines/>
      <w:spacing w:before="360" w:after="80"/>
      <w:outlineLvl w:val="0"/>
    </w:pPr>
    <w:rPr>
      <w:rFonts w:ascii="Cambria" w:eastAsia="宋体" w:cs="Times New Roman" w:hAnsi="Cambria"/>
      <w:color w:val="365F91"/>
      <w:sz w:val="40"/>
      <w:szCs w:val="40"/>
    </w:rPr>
  </w:style>
  <w:style w:type="paragraph" w:styleId="2">
    <w:name w:val="heading 2"/>
    <w:basedOn w:val="0"/>
    <w:next w:val="0"/>
    <w:pPr>
      <w:keepNext/>
      <w:keepLines/>
      <w:spacing w:before="160" w:after="80"/>
      <w:outlineLvl w:val="1"/>
    </w:pPr>
    <w:rPr>
      <w:rFonts w:ascii="Cambria" w:eastAsia="宋体" w:cs="Times New Roman" w:hAnsi="Cambria"/>
      <w:color w:val="365F91"/>
      <w:sz w:val="32"/>
      <w:szCs w:val="32"/>
    </w:rPr>
  </w:style>
  <w:style w:type="paragraph" w:styleId="3">
    <w:name w:val="heading 3"/>
    <w:basedOn w:val="0"/>
    <w:next w:val="0"/>
    <w:pPr>
      <w:keepNext/>
      <w:keepLines/>
      <w:spacing w:before="160" w:after="80"/>
      <w:outlineLvl w:val="2"/>
    </w:pPr>
    <w:rPr>
      <w:rFonts w:eastAsia="宋体" w:cs="Times New Roman"/>
      <w:color w:val="365F91"/>
      <w:sz w:val="28"/>
      <w:szCs w:val="28"/>
    </w:rPr>
  </w:style>
  <w:style w:type="paragraph" w:styleId="4">
    <w:name w:val="heading 4"/>
    <w:basedOn w:val="0"/>
    <w:next w:val="0"/>
    <w:pPr>
      <w:keepNext/>
      <w:keepLines/>
      <w:spacing w:before="80" w:after="40"/>
      <w:outlineLvl w:val="3"/>
    </w:pPr>
    <w:rPr>
      <w:rFonts w:eastAsia="宋体" w:cs="Times New Roman"/>
      <w:i/>
      <w:iCs/>
      <w:color w:val="365F91"/>
    </w:rPr>
  </w:style>
  <w:style w:type="paragraph" w:styleId="5">
    <w:name w:val="heading 5"/>
    <w:basedOn w:val="0"/>
    <w:next w:val="0"/>
    <w:pPr>
      <w:keepNext/>
      <w:keepLines/>
      <w:spacing w:before="80" w:after="40"/>
      <w:outlineLvl w:val="4"/>
    </w:pPr>
    <w:rPr>
      <w:rFonts w:eastAsia="宋体" w:cs="Times New Roman"/>
      <w:color w:val="365F91"/>
    </w:rPr>
  </w:style>
  <w:style w:type="paragraph" w:styleId="6">
    <w:name w:val="heading 6"/>
    <w:basedOn w:val="0"/>
    <w:next w:val="0"/>
    <w:pPr>
      <w:keepNext/>
      <w:keepLines/>
      <w:spacing w:before="40" w:after="0"/>
      <w:outlineLvl w:val="5"/>
    </w:pPr>
    <w:rPr>
      <w:rFonts w:eastAsia="宋体" w:cs="Times New Roman"/>
      <w:i/>
      <w:iCs/>
      <w:color w:val="595959"/>
    </w:rPr>
  </w:style>
  <w:style w:type="paragraph" w:styleId="7">
    <w:name w:val="heading 7"/>
    <w:basedOn w:val="0"/>
    <w:next w:val="0"/>
    <w:pPr>
      <w:keepNext/>
      <w:keepLines/>
      <w:spacing w:before="40" w:after="0"/>
      <w:outlineLvl w:val="6"/>
    </w:pPr>
    <w:rPr>
      <w:rFonts w:eastAsia="宋体" w:cs="Times New Roman"/>
      <w:color w:val="595959"/>
    </w:rPr>
  </w:style>
  <w:style w:type="paragraph" w:styleId="8">
    <w:name w:val="heading 8"/>
    <w:basedOn w:val="0"/>
    <w:next w:val="0"/>
    <w:pPr>
      <w:keepNext/>
      <w:keepLines/>
      <w:spacing w:after="0"/>
      <w:outlineLvl w:val="7"/>
    </w:pPr>
    <w:rPr>
      <w:rFonts w:eastAsia="宋体" w:cs="Times New Roman"/>
      <w:i/>
      <w:iCs/>
      <w:color w:val="272727"/>
    </w:rPr>
  </w:style>
  <w:style w:type="paragraph" w:styleId="9">
    <w:name w:val="heading 9"/>
    <w:basedOn w:val="0"/>
    <w:next w:val="0"/>
    <w:pPr>
      <w:keepNext/>
      <w:keepLines/>
      <w:spacing w:after="0"/>
      <w:outlineLvl w:val="8"/>
    </w:pPr>
    <w:rPr>
      <w:rFonts w:eastAsia="宋体" w:cs="Times New Roman"/>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mbria" w:eastAsia="宋体" w:cs="Times New Roman" w:hAnsi="Cambria"/>
      <w:spacing w:val="-10"/>
      <w:kern w:val="28"/>
      <w:sz w:val="56"/>
      <w:szCs w:val="56"/>
    </w:rPr>
  </w:style>
  <w:style w:type="paragraph" w:styleId="16">
    <w:name w:val="Subtitle"/>
    <w:basedOn w:val="0"/>
    <w:next w:val="0"/>
    <w:pPr>
      <w:spacing w:after="160"/>
    </w:pPr>
    <w:rPr>
      <w:rFonts w:eastAsia="宋体" w:cs="Times New Roman"/>
      <w:color w:val="595959"/>
      <w:spacing w:val="15"/>
      <w:sz w:val="28"/>
      <w:szCs w:val="28"/>
    </w:rPr>
  </w:style>
  <w:style w:type="paragraph" w:customStyle="1" w:styleId="17">
    <w:name w:val="Quote"/>
    <w:basedOn w:val="0"/>
    <w:next w:val="0"/>
    <w:pPr>
      <w:spacing w:before="160" w:after="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365F91"/>
    </w:rPr>
  </w:style>
  <w:style w:type="paragraph" w:customStyle="1" w:styleId="20">
    <w:name w:val="Intense Quote"/>
    <w:basedOn w:val="0"/>
    <w:next w:val="0"/>
    <w:pPr>
      <w:pBdr>
        <w:top w:val="single" w:sz="4" w:space="10" w:color="365F91"/>
        <w:bottom w:val="single" w:sz="4" w:space="10" w:color="365F91"/>
      </w:pBdr>
      <w:spacing w:before="360" w:after="360"/>
      <w:ind w:left="864" w:right="864"/>
      <w:jc w:val="center"/>
    </w:pPr>
    <w:rPr>
      <w:i/>
      <w:iCs/>
      <w:color w:val="365F91"/>
    </w:rPr>
  </w:style>
  <w:style w:type="character" w:customStyle="1" w:styleId="21">
    <w:name w:val="Intense Reference"/>
    <w:basedOn w:val="10"/>
    <w:rPr>
      <w:b/>
      <w:bCs/>
      <w:caps w:val="0"/>
      <w:smallCaps/>
      <w:color w:val="365F91"/>
      <w:spacing w:val="5"/>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75</TotalTime>
  <Application>Honor_Office</Application>
  <Pages>4</Pages>
  <Words>712</Words>
  <Characters>3089</Characters>
  <Lines>75</Lines>
  <Paragraphs>31</Paragraphs>
  <CharactersWithSpaces>3776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wordnajaf@hotmail.com</dc:creator>
  <cp:lastModifiedBy>HONOR Docs</cp:lastModifiedBy>
  <cp:revision>36</cp:revision>
  <dcterms:created xsi:type="dcterms:W3CDTF">2026-05-20T12:52:00Z</dcterms:created>
  <dcterms:modified xsi:type="dcterms:W3CDTF">2026-05-20T09:11:25Z</dcterms:modified>
</cp:coreProperties>
</file>