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902D8" w14:textId="1D4F3EA3" w:rsidR="00002BF9" w:rsidRPr="007B731A" w:rsidRDefault="00002BF9" w:rsidP="00002BF9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25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0A2EF60F" w14:textId="33D604EE" w:rsidR="00002BF9" w:rsidRPr="007B731A" w:rsidRDefault="00D0180A" w:rsidP="00002BF9">
      <w:pPr>
        <w:jc w:val="center"/>
        <w:rPr>
          <w:rtl/>
        </w:rPr>
      </w:pPr>
      <w:r>
        <w:rPr>
          <w:rFonts w:hint="cs"/>
          <w:rtl/>
        </w:rPr>
        <w:t>الإثنين</w:t>
      </w:r>
      <w:r w:rsidR="00002BF9" w:rsidRPr="007B731A">
        <w:rPr>
          <w:rtl/>
        </w:rPr>
        <w:t xml:space="preserve"> </w:t>
      </w:r>
      <w:r w:rsidR="00002BF9">
        <w:rPr>
          <w:rFonts w:hint="cs"/>
          <w:rtl/>
        </w:rPr>
        <w:t>24 شباط</w:t>
      </w:r>
      <w:r w:rsidR="00002BF9" w:rsidRPr="007B731A">
        <w:rPr>
          <w:rtl/>
        </w:rPr>
        <w:t xml:space="preserve"> 202</w:t>
      </w:r>
      <w:r w:rsidR="00002BF9">
        <w:rPr>
          <w:rFonts w:hint="cs"/>
          <w:rtl/>
        </w:rPr>
        <w:t>5</w:t>
      </w:r>
      <w:r w:rsidR="00002BF9" w:rsidRPr="007B731A">
        <w:rPr>
          <w:rtl/>
        </w:rPr>
        <w:t>‏ م</w:t>
      </w:r>
    </w:p>
    <w:p w14:paraId="46A24BE8" w14:textId="6361B319" w:rsidR="00002BF9" w:rsidRPr="007B731A" w:rsidRDefault="003B56F0" w:rsidP="00002BF9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002BF9" w:rsidRPr="007B731A">
        <w:rPr>
          <w:rtl/>
        </w:rPr>
        <w:t xml:space="preserve">لباس المصلي: </w:t>
      </w:r>
      <w:r w:rsidR="00002BF9">
        <w:rPr>
          <w:rFonts w:hint="cs"/>
          <w:rtl/>
        </w:rPr>
        <w:t xml:space="preserve">مكان المصلي </w:t>
      </w:r>
    </w:p>
    <w:p w14:paraId="2420350B" w14:textId="77777777" w:rsidR="00002BF9" w:rsidRDefault="00002BF9" w:rsidP="00002BF9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0777C888" w14:textId="1A203CCF" w:rsidR="00002BF9" w:rsidRDefault="00912FC0" w:rsidP="00912FC0">
      <w:pPr>
        <w:rPr>
          <w:rFonts w:cs="Arial"/>
          <w:rtl/>
        </w:rPr>
      </w:pPr>
      <w:r>
        <w:rPr>
          <w:rFonts w:hint="cs"/>
          <w:rtl/>
        </w:rPr>
        <w:t>ذكرنا في خدمتكم أن حكيم الفقهاء (رض) لم يدخل إلى البحث كما فعل السيد الأعظم (رض) بل نقل عن بعض الأعلام أن ا</w:t>
      </w:r>
      <w:r>
        <w:rPr>
          <w:rFonts w:cs="Arial"/>
          <w:rtl/>
        </w:rPr>
        <w:t>لمكان في عرف الفقهاء بين معنيين: أحدهما باعتبار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إباحته، والآخر باعتبار طهارته</w:t>
      </w:r>
      <w:r>
        <w:rPr>
          <w:rFonts w:cs="Arial" w:hint="cs"/>
          <w:rtl/>
        </w:rPr>
        <w:t>.</w:t>
      </w:r>
    </w:p>
    <w:p w14:paraId="68B11778" w14:textId="71AAA1AF" w:rsidR="00816AF2" w:rsidRPr="0005228D" w:rsidRDefault="0005228D" w:rsidP="00A43638">
      <w:pPr>
        <w:rPr>
          <w:rFonts w:cs="Arial"/>
          <w:rtl/>
        </w:rPr>
      </w:pPr>
      <w:r>
        <w:rPr>
          <w:rFonts w:cs="Arial" w:hint="cs"/>
          <w:rtl/>
        </w:rPr>
        <w:t>وأما من حيث الإباحة فلا بد أن يكون المكان مملوكاً أو مباحاً في الصلاة واعتبر أن هذا التعريف واضح، وهو غير واضح عندنا</w:t>
      </w:r>
      <w:r w:rsidR="00D13E0A">
        <w:rPr>
          <w:rFonts w:cs="Arial" w:hint="cs"/>
          <w:rtl/>
        </w:rPr>
        <w:t>؛ باعتبار أن حركة الانحناء للركوع مثلاً ليست من الصلاة</w:t>
      </w:r>
      <w:r w:rsidR="00816AF2">
        <w:rPr>
          <w:rFonts w:cs="Arial" w:hint="cs"/>
          <w:rtl/>
        </w:rPr>
        <w:t xml:space="preserve"> عنده، وما يقوم به المصلي من هذه الحركات لا يكون فيها مشغولاً بالصلاة</w:t>
      </w:r>
      <w:r w:rsidR="00A43638">
        <w:rPr>
          <w:rFonts w:cs="Arial" w:hint="cs"/>
          <w:rtl/>
        </w:rPr>
        <w:t>، فلا يشترط أن يكون المكان فيها مباحاً.</w:t>
      </w:r>
    </w:p>
    <w:p w14:paraId="29AC3653" w14:textId="4C8FF40A" w:rsidR="00306F07" w:rsidRDefault="00A43638" w:rsidP="00A43638">
      <w:pPr>
        <w:rPr>
          <w:rtl/>
        </w:rPr>
      </w:pPr>
      <w:r>
        <w:rPr>
          <w:rFonts w:hint="cs"/>
          <w:rtl/>
        </w:rPr>
        <w:t>نعم، كلامه تام في نفس الركوع أو السجود أما في الحركات المؤدية لهما فلا.</w:t>
      </w:r>
    </w:p>
    <w:p w14:paraId="0181F373" w14:textId="2BAFD902" w:rsidR="00A43638" w:rsidRDefault="00A43638" w:rsidP="00A43638">
      <w:pPr>
        <w:rPr>
          <w:rtl/>
        </w:rPr>
      </w:pPr>
      <w:r>
        <w:rPr>
          <w:rFonts w:hint="cs"/>
          <w:rtl/>
        </w:rPr>
        <w:t xml:space="preserve">والذي ينبغي أن يقال إن </w:t>
      </w:r>
      <w:r w:rsidR="003673C1">
        <w:rPr>
          <w:rFonts w:hint="cs"/>
          <w:rtl/>
        </w:rPr>
        <w:t xml:space="preserve">أجزاء </w:t>
      </w:r>
      <w:r>
        <w:rPr>
          <w:rFonts w:hint="cs"/>
          <w:rtl/>
        </w:rPr>
        <w:t xml:space="preserve">الصلاة شيء والواجب فيها شيء آخر، فالصلاة تبدأ </w:t>
      </w:r>
      <w:r w:rsidR="003673C1">
        <w:rPr>
          <w:rFonts w:hint="cs"/>
          <w:rtl/>
        </w:rPr>
        <w:t>من تكبيرة الإحرام وتنتهي مع التسليم، وعلى هذا فالقول بأن الانحناء المتخلل في الصلاة ليس منها لا يرجع إلى محصل.</w:t>
      </w:r>
    </w:p>
    <w:p w14:paraId="675E37AB" w14:textId="1DBAB378" w:rsidR="003673C1" w:rsidRDefault="003673C1" w:rsidP="00A43638">
      <w:pPr>
        <w:rPr>
          <w:rtl/>
        </w:rPr>
      </w:pPr>
      <w:r>
        <w:rPr>
          <w:rFonts w:hint="cs"/>
          <w:rtl/>
        </w:rPr>
        <w:t>ولذلك لا</w:t>
      </w:r>
      <w:r w:rsidR="00C0021A">
        <w:rPr>
          <w:rFonts w:hint="cs"/>
          <w:rtl/>
        </w:rPr>
        <w:t xml:space="preserve"> يفتي أحد ممن قال هذا القول بجواز إدارة الوجه عن القبلة حال الانحناء الذي اعتبروه خارجاً عن الصلاة.</w:t>
      </w:r>
    </w:p>
    <w:p w14:paraId="3F9EBA2F" w14:textId="1B1CF9F3" w:rsidR="00C0021A" w:rsidRDefault="00E07ACC" w:rsidP="00A43638">
      <w:pPr>
        <w:rPr>
          <w:rtl/>
        </w:rPr>
      </w:pPr>
      <w:r>
        <w:rPr>
          <w:rFonts w:hint="cs"/>
          <w:rtl/>
        </w:rPr>
        <w:t xml:space="preserve">فالنتيجة إن ما أفاده (رض) من تعريف </w:t>
      </w:r>
      <w:r w:rsidR="00B4236D">
        <w:rPr>
          <w:rFonts w:hint="cs"/>
          <w:rtl/>
        </w:rPr>
        <w:t>لا يلزمه بوجوب الشرائط ـ من استقبال ونحوه ـ في هذه الحركات التي اعتبرها خارجة عن الصلاة، مع أنه ملتزم بها!</w:t>
      </w:r>
      <w:r w:rsidR="00850976">
        <w:rPr>
          <w:rFonts w:hint="cs"/>
          <w:rtl/>
        </w:rPr>
        <w:t xml:space="preserve"> وكذا أنه لا يلزمه أن تكون هذه الحركات تصرف في مال الغير لو كانت الصلاة في كمان مغصوب.</w:t>
      </w:r>
    </w:p>
    <w:p w14:paraId="3A768CB3" w14:textId="6977BB55" w:rsidR="00850976" w:rsidRDefault="00850976" w:rsidP="00A43638">
      <w:pPr>
        <w:rPr>
          <w:rtl/>
        </w:rPr>
      </w:pPr>
      <w:r>
        <w:rPr>
          <w:rFonts w:hint="cs"/>
          <w:rtl/>
        </w:rPr>
        <w:t xml:space="preserve">نعم، ذكر أمراً </w:t>
      </w:r>
      <w:proofErr w:type="spellStart"/>
      <w:r>
        <w:rPr>
          <w:rFonts w:hint="cs"/>
          <w:rtl/>
        </w:rPr>
        <w:t>نوافقه</w:t>
      </w:r>
      <w:proofErr w:type="spellEnd"/>
      <w:r>
        <w:rPr>
          <w:rFonts w:hint="cs"/>
          <w:rtl/>
        </w:rPr>
        <w:t xml:space="preserve"> عليه وهي أن مفهوم المكان لم يرد في أدلة الصلاة فلا يهمنا تعريف المكان من هذه الجهة، وكلام</w:t>
      </w:r>
      <w:r w:rsidR="00783013">
        <w:rPr>
          <w:rFonts w:hint="cs"/>
          <w:rtl/>
        </w:rPr>
        <w:t>ه</w:t>
      </w:r>
      <w:r>
        <w:rPr>
          <w:rFonts w:hint="cs"/>
          <w:rtl/>
        </w:rPr>
        <w:t xml:space="preserve"> تام </w:t>
      </w:r>
      <w:r w:rsidR="00783013">
        <w:rPr>
          <w:rFonts w:hint="cs"/>
          <w:rtl/>
        </w:rPr>
        <w:t xml:space="preserve">في هذه الجهة، ولكن الاعتراض على </w:t>
      </w:r>
      <w:r w:rsidR="00B45F2B">
        <w:rPr>
          <w:rFonts w:hint="cs"/>
          <w:rtl/>
        </w:rPr>
        <w:t>ما أفاده من قبوله للتعريف وما يلزم منه</w:t>
      </w:r>
      <w:r w:rsidR="00783013">
        <w:rPr>
          <w:rFonts w:hint="cs"/>
          <w:rtl/>
        </w:rPr>
        <w:t>.</w:t>
      </w:r>
    </w:p>
    <w:p w14:paraId="796F6E03" w14:textId="74942FB5" w:rsidR="00B45F2B" w:rsidRDefault="00B45F2B" w:rsidP="00A43638">
      <w:pPr>
        <w:rPr>
          <w:rtl/>
        </w:rPr>
      </w:pPr>
      <w:r>
        <w:rPr>
          <w:rFonts w:hint="cs"/>
          <w:rtl/>
        </w:rPr>
        <w:t xml:space="preserve">أما من حيث ما يشترط فيه الإباحة </w:t>
      </w:r>
      <w:r w:rsidR="00EE33C9">
        <w:rPr>
          <w:rFonts w:hint="cs"/>
          <w:rtl/>
        </w:rPr>
        <w:t xml:space="preserve">فنقل أنه الفراغ الذي يشغله </w:t>
      </w:r>
      <w:r w:rsidR="00476140">
        <w:rPr>
          <w:rFonts w:hint="cs"/>
          <w:rtl/>
        </w:rPr>
        <w:t xml:space="preserve">بدن </w:t>
      </w:r>
      <w:r w:rsidR="00EE33C9">
        <w:rPr>
          <w:rFonts w:hint="cs"/>
          <w:rtl/>
        </w:rPr>
        <w:t xml:space="preserve">المصلي </w:t>
      </w:r>
      <w:r w:rsidR="00476140">
        <w:rPr>
          <w:rFonts w:hint="cs"/>
          <w:rtl/>
        </w:rPr>
        <w:t>أو يستقر عليه بوسائط، ووافق هذا المنقول</w:t>
      </w:r>
      <w:r>
        <w:rPr>
          <w:rFonts w:hint="cs"/>
          <w:rtl/>
        </w:rPr>
        <w:t>.</w:t>
      </w:r>
    </w:p>
    <w:p w14:paraId="29002718" w14:textId="2F3ECDAF" w:rsidR="006A6512" w:rsidRDefault="006A6512" w:rsidP="00A43638">
      <w:pPr>
        <w:rPr>
          <w:rtl/>
        </w:rPr>
      </w:pPr>
      <w:r>
        <w:rPr>
          <w:rFonts w:hint="cs"/>
          <w:rtl/>
        </w:rPr>
        <w:t>فقد تقدم أن هناك فرقاً بين المكان والحيز، فالمكان هو السطح الباطن للجسم الحاوي المماس للسطح الظاهر من الجسم المحوي.</w:t>
      </w:r>
    </w:p>
    <w:p w14:paraId="2BC32776" w14:textId="41D3E201" w:rsidR="006A6512" w:rsidRDefault="006A6512" w:rsidP="00A43638">
      <w:pPr>
        <w:rPr>
          <w:rtl/>
        </w:rPr>
      </w:pPr>
      <w:r>
        <w:rPr>
          <w:rFonts w:hint="cs"/>
          <w:rtl/>
        </w:rPr>
        <w:t xml:space="preserve">أما ما يشغله بدن المصلي فهو الحيز، </w:t>
      </w:r>
      <w:r w:rsidR="00307711">
        <w:rPr>
          <w:rFonts w:hint="cs"/>
          <w:rtl/>
        </w:rPr>
        <w:t>و</w:t>
      </w:r>
      <w:r>
        <w:rPr>
          <w:rFonts w:hint="cs"/>
          <w:rtl/>
        </w:rPr>
        <w:t>لذلك فإن حكيم الفقهاء (رض) حصل الخلط عنده بينهما كما فعل السيد الأعظم (رض).</w:t>
      </w:r>
    </w:p>
    <w:p w14:paraId="2A078668" w14:textId="6B3FCDA1" w:rsidR="006A6512" w:rsidRDefault="0020549C" w:rsidP="00A43638">
      <w:pPr>
        <w:rPr>
          <w:rtl/>
        </w:rPr>
      </w:pPr>
      <w:r>
        <w:rPr>
          <w:rFonts w:hint="cs"/>
          <w:rtl/>
        </w:rPr>
        <w:t xml:space="preserve">وعلى كل حال، فقد اشترط السيد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</w:t>
      </w:r>
      <w:r w:rsidR="00740307">
        <w:rPr>
          <w:rFonts w:hint="cs"/>
          <w:rtl/>
        </w:rPr>
        <w:t xml:space="preserve">(رض) </w:t>
      </w:r>
      <w:r>
        <w:rPr>
          <w:rFonts w:hint="cs"/>
          <w:rtl/>
        </w:rPr>
        <w:t>الإباحة في المكان</w:t>
      </w:r>
      <w:r w:rsidR="00740307">
        <w:rPr>
          <w:rFonts w:hint="cs"/>
          <w:rtl/>
        </w:rPr>
        <w:t xml:space="preserve"> فالصلاة باطلة في المغصوب.</w:t>
      </w:r>
    </w:p>
    <w:p w14:paraId="4A59EC87" w14:textId="422C6CA3" w:rsidR="00740307" w:rsidRDefault="00740307" w:rsidP="00A43638">
      <w:pPr>
        <w:rPr>
          <w:rtl/>
        </w:rPr>
      </w:pPr>
      <w:r>
        <w:rPr>
          <w:rFonts w:hint="cs"/>
          <w:rtl/>
        </w:rPr>
        <w:t>واعترض عليه السيد الأعظم بأن اشتراط الصحة في كون المكان</w:t>
      </w:r>
      <w:r w:rsidR="00A82042">
        <w:rPr>
          <w:rFonts w:hint="cs"/>
          <w:rtl/>
        </w:rPr>
        <w:t xml:space="preserve"> كله</w:t>
      </w:r>
      <w:r>
        <w:rPr>
          <w:rFonts w:hint="cs"/>
          <w:rtl/>
        </w:rPr>
        <w:t xml:space="preserve"> مباحاً ليس واضحاً</w:t>
      </w:r>
      <w:r w:rsidR="00430690">
        <w:rPr>
          <w:rFonts w:hint="cs"/>
          <w:rtl/>
        </w:rPr>
        <w:t>.</w:t>
      </w:r>
    </w:p>
    <w:p w14:paraId="53872FDA" w14:textId="25EF62F9" w:rsidR="00430690" w:rsidRDefault="00430690" w:rsidP="00A43638">
      <w:pPr>
        <w:rPr>
          <w:rtl/>
        </w:rPr>
      </w:pPr>
      <w:r>
        <w:rPr>
          <w:rFonts w:hint="cs"/>
          <w:rtl/>
        </w:rPr>
        <w:t>ثم وقع الكلام في المكان المرهون فهل تصح الصلاة فيه لشخص ثالث</w:t>
      </w:r>
      <w:r w:rsidR="00867EE5">
        <w:rPr>
          <w:rFonts w:hint="cs"/>
          <w:rtl/>
        </w:rPr>
        <w:t xml:space="preserve"> بدون إذن الراهن والمرتهن</w:t>
      </w:r>
      <w:r w:rsidR="00A3333E">
        <w:rPr>
          <w:rFonts w:hint="cs"/>
          <w:rtl/>
        </w:rPr>
        <w:t xml:space="preserve"> أو أحدهما</w:t>
      </w:r>
      <w:r w:rsidR="00867EE5">
        <w:rPr>
          <w:rFonts w:hint="cs"/>
          <w:rtl/>
        </w:rPr>
        <w:t>؟</w:t>
      </w:r>
    </w:p>
    <w:p w14:paraId="07EB6BF6" w14:textId="51202326" w:rsidR="00867EE5" w:rsidRDefault="00867EE5" w:rsidP="00A43638">
      <w:pPr>
        <w:rPr>
          <w:rtl/>
        </w:rPr>
      </w:pPr>
      <w:r>
        <w:rPr>
          <w:rFonts w:hint="cs"/>
          <w:rtl/>
        </w:rPr>
        <w:t>و</w:t>
      </w:r>
      <w:r w:rsidR="00A85BA5">
        <w:rPr>
          <w:rFonts w:hint="cs"/>
          <w:rtl/>
        </w:rPr>
        <w:t xml:space="preserve">ذكر سيدنا الأعظم أموراً: </w:t>
      </w:r>
      <w:r>
        <w:rPr>
          <w:rFonts w:hint="cs"/>
          <w:rtl/>
        </w:rPr>
        <w:t>أما من حيث المرتهن فلا ي</w:t>
      </w:r>
      <w:r w:rsidR="00A24DE3">
        <w:rPr>
          <w:rFonts w:hint="cs"/>
          <w:rtl/>
        </w:rPr>
        <w:t>سوغ</w:t>
      </w:r>
      <w:r>
        <w:rPr>
          <w:rFonts w:hint="cs"/>
          <w:rtl/>
        </w:rPr>
        <w:t xml:space="preserve"> أن يأ</w:t>
      </w:r>
      <w:r w:rsidR="00A24DE3">
        <w:rPr>
          <w:rFonts w:hint="cs"/>
          <w:rtl/>
        </w:rPr>
        <w:t>ذن بالتصرف فيه المرهون بلا رجوع للراهن.</w:t>
      </w:r>
    </w:p>
    <w:p w14:paraId="65ABFC8C" w14:textId="62ED2BD2" w:rsidR="00A24DE3" w:rsidRDefault="00A24DE3" w:rsidP="00A43638">
      <w:pPr>
        <w:rPr>
          <w:rtl/>
        </w:rPr>
      </w:pPr>
      <w:r>
        <w:rPr>
          <w:rFonts w:hint="cs"/>
          <w:rtl/>
        </w:rPr>
        <w:t>وأما الراهن فإن كان تصرفه اعتبارياً أو حقيقياً غير منافٍ للرهن فيصح وإلا فلا</w:t>
      </w:r>
      <w:r w:rsidR="00A85BA5">
        <w:rPr>
          <w:rFonts w:hint="cs"/>
          <w:rtl/>
        </w:rPr>
        <w:t>.</w:t>
      </w:r>
    </w:p>
    <w:p w14:paraId="6BF47B7C" w14:textId="77777777" w:rsidR="00582EBE" w:rsidRDefault="00582EBE" w:rsidP="00A43638">
      <w:pPr>
        <w:rPr>
          <w:rtl/>
        </w:rPr>
      </w:pPr>
      <w:r>
        <w:rPr>
          <w:rFonts w:hint="cs"/>
          <w:rtl/>
        </w:rPr>
        <w:t>ولا بد من التأمل في التصرف في المرهون:</w:t>
      </w:r>
    </w:p>
    <w:p w14:paraId="19D3463E" w14:textId="77777777" w:rsidR="00CF6FDB" w:rsidRPr="000415A5" w:rsidRDefault="00582EBE" w:rsidP="00A43638">
      <w:pPr>
        <w:rPr>
          <w:b/>
          <w:bCs/>
          <w:rtl/>
        </w:rPr>
      </w:pPr>
      <w:r>
        <w:rPr>
          <w:rFonts w:hint="cs"/>
          <w:rtl/>
        </w:rPr>
        <w:t>أما دليل من منع التصرف للطرفين فهي رواية ذكرها صاحب المستدرك</w:t>
      </w:r>
      <w:r w:rsidR="00CF6FDB">
        <w:rPr>
          <w:rFonts w:hint="cs"/>
          <w:rtl/>
        </w:rPr>
        <w:t>، وهي السادسة من الباب السابع عشر من كتاب الرهن:</w:t>
      </w:r>
    </w:p>
    <w:p w14:paraId="1987DD7C" w14:textId="176E0AF6" w:rsidR="00582EBE" w:rsidRDefault="000415A5" w:rsidP="000415A5">
      <w:pPr>
        <w:rPr>
          <w:b/>
          <w:bCs/>
          <w:rtl/>
        </w:rPr>
      </w:pPr>
      <w:r w:rsidRPr="000415A5">
        <w:rPr>
          <w:rFonts w:cs="Arial"/>
          <w:b/>
          <w:bCs/>
          <w:rtl/>
        </w:rPr>
        <w:t xml:space="preserve">عن النبي </w:t>
      </w:r>
      <w:r w:rsidRPr="000415A5">
        <w:rPr>
          <w:rFonts w:cs="Arial" w:hint="cs"/>
          <w:b/>
          <w:bCs/>
          <w:rtl/>
        </w:rPr>
        <w:t>(صلى</w:t>
      </w:r>
      <w:r w:rsidRPr="000415A5">
        <w:rPr>
          <w:rFonts w:cs="Arial"/>
          <w:b/>
          <w:bCs/>
          <w:rtl/>
        </w:rPr>
        <w:t xml:space="preserve"> الله عليه </w:t>
      </w:r>
      <w:r w:rsidRPr="000415A5">
        <w:rPr>
          <w:rFonts w:cs="Arial" w:hint="cs"/>
          <w:b/>
          <w:bCs/>
          <w:rtl/>
        </w:rPr>
        <w:t xml:space="preserve">وآله) </w:t>
      </w:r>
      <w:r w:rsidRPr="000415A5">
        <w:rPr>
          <w:rFonts w:cs="Arial"/>
          <w:b/>
          <w:bCs/>
          <w:rtl/>
        </w:rPr>
        <w:t>أنه قال: الراهن والمرهون ممنوعان من التصرف في الرهن</w:t>
      </w:r>
      <w:r w:rsidRPr="000415A5">
        <w:rPr>
          <w:rFonts w:hint="cs"/>
          <w:b/>
          <w:bCs/>
          <w:rtl/>
        </w:rPr>
        <w:t>.</w:t>
      </w:r>
    </w:p>
    <w:p w14:paraId="07CAF7E7" w14:textId="77777777" w:rsidR="00342297" w:rsidRDefault="00476D30" w:rsidP="00342297">
      <w:pPr>
        <w:rPr>
          <w:rtl/>
        </w:rPr>
      </w:pPr>
      <w:r>
        <w:rPr>
          <w:rFonts w:hint="cs"/>
          <w:rtl/>
        </w:rPr>
        <w:lastRenderedPageBreak/>
        <w:t>وهذه الرواية مرسلة</w:t>
      </w:r>
      <w:r w:rsidR="00342297">
        <w:rPr>
          <w:rFonts w:hint="cs"/>
          <w:rtl/>
        </w:rPr>
        <w:t>، وهي تفيد أن الشيء المرهون أصبح متعلقاً بحق لشخصين فلا يصح لأحدهما التصرف دون الآخر.</w:t>
      </w:r>
    </w:p>
    <w:p w14:paraId="612ABD8E" w14:textId="514B164D" w:rsidR="00853498" w:rsidRDefault="00853498" w:rsidP="00342297">
      <w:pPr>
        <w:rPr>
          <w:rtl/>
        </w:rPr>
      </w:pPr>
      <w:r>
        <w:rPr>
          <w:rFonts w:hint="cs"/>
          <w:rtl/>
        </w:rPr>
        <w:t>وهذا الحكم مشهور بين الفقهاء مع قطع النظر عن هذا الحديث.</w:t>
      </w:r>
    </w:p>
    <w:p w14:paraId="436F1464" w14:textId="57C67A4A" w:rsidR="00476D30" w:rsidRDefault="00342297" w:rsidP="00342297">
      <w:pPr>
        <w:rPr>
          <w:rtl/>
        </w:rPr>
      </w:pPr>
      <w:r>
        <w:rPr>
          <w:rFonts w:hint="cs"/>
          <w:rtl/>
        </w:rPr>
        <w:t xml:space="preserve"> </w:t>
      </w:r>
      <w:r w:rsidR="00853498">
        <w:rPr>
          <w:rFonts w:hint="cs"/>
          <w:rtl/>
        </w:rPr>
        <w:t>لكن الالتزام به على إطلاقه مشكل، فإن التصرف إذا كان منافياً لحق الرهن</w:t>
      </w:r>
      <w:r w:rsidR="00287E22">
        <w:rPr>
          <w:rFonts w:hint="cs"/>
          <w:rtl/>
        </w:rPr>
        <w:t xml:space="preserve"> كالبيع أو الوقف مثلاً</w:t>
      </w:r>
      <w:r w:rsidR="00853498">
        <w:rPr>
          <w:rFonts w:hint="cs"/>
          <w:rtl/>
        </w:rPr>
        <w:t xml:space="preserve"> لم يصح.</w:t>
      </w:r>
    </w:p>
    <w:p w14:paraId="2FD213D0" w14:textId="3C0A262E" w:rsidR="00853498" w:rsidRDefault="00287E22" w:rsidP="00342297">
      <w:pPr>
        <w:rPr>
          <w:rtl/>
        </w:rPr>
      </w:pPr>
      <w:r>
        <w:rPr>
          <w:rFonts w:hint="cs"/>
          <w:rtl/>
        </w:rPr>
        <w:t>فحقيقة الرهن أنه وثيقة بأن الراهن إن لم يؤد حقه للمرتهن</w:t>
      </w:r>
      <w:r w:rsidR="00BB5058">
        <w:rPr>
          <w:rFonts w:hint="cs"/>
          <w:rtl/>
        </w:rPr>
        <w:t xml:space="preserve"> في الوقت المتفق عليه، كان للمرتهن التصرف بالمرهون</w:t>
      </w:r>
      <w:r w:rsidR="001C5CE1">
        <w:rPr>
          <w:rFonts w:hint="cs"/>
          <w:rtl/>
        </w:rPr>
        <w:t>، أما التصرف فيه بالبيع أو الوقف أو نحوهما قبل هذا الوقت فهو مناف لحق الرهن.</w:t>
      </w:r>
    </w:p>
    <w:p w14:paraId="5937A989" w14:textId="3B62E057" w:rsidR="001C5CE1" w:rsidRPr="00476D30" w:rsidRDefault="001C5CE1" w:rsidP="00342297">
      <w:pPr>
        <w:rPr>
          <w:rtl/>
        </w:rPr>
      </w:pPr>
      <w:r>
        <w:rPr>
          <w:rFonts w:hint="cs"/>
          <w:rtl/>
        </w:rPr>
        <w:t>وعلى كل حال فللكلام تتمة والحمد لله رب العالمين.</w:t>
      </w:r>
    </w:p>
    <w:p w14:paraId="6C55423B" w14:textId="77777777" w:rsidR="00A85BA5" w:rsidRDefault="00A85BA5" w:rsidP="00A43638">
      <w:pPr>
        <w:rPr>
          <w:rtl/>
        </w:rPr>
      </w:pPr>
    </w:p>
    <w:p w14:paraId="71ED365A" w14:textId="77777777" w:rsidR="00783013" w:rsidRDefault="00783013" w:rsidP="00A43638"/>
    <w:sectPr w:rsidR="0078301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BF9"/>
    <w:rsid w:val="00002BF9"/>
    <w:rsid w:val="000415A5"/>
    <w:rsid w:val="0005228D"/>
    <w:rsid w:val="001C5CE1"/>
    <w:rsid w:val="0020549C"/>
    <w:rsid w:val="00287E22"/>
    <w:rsid w:val="002D08D2"/>
    <w:rsid w:val="00306F07"/>
    <w:rsid w:val="00307711"/>
    <w:rsid w:val="00342297"/>
    <w:rsid w:val="003673C1"/>
    <w:rsid w:val="003B56F0"/>
    <w:rsid w:val="00430690"/>
    <w:rsid w:val="00476140"/>
    <w:rsid w:val="00476D30"/>
    <w:rsid w:val="00582EBE"/>
    <w:rsid w:val="0058721B"/>
    <w:rsid w:val="005B7E90"/>
    <w:rsid w:val="005F72A1"/>
    <w:rsid w:val="006A6512"/>
    <w:rsid w:val="00740307"/>
    <w:rsid w:val="00783013"/>
    <w:rsid w:val="00811EC9"/>
    <w:rsid w:val="00816AF2"/>
    <w:rsid w:val="00850976"/>
    <w:rsid w:val="00853498"/>
    <w:rsid w:val="00867EE5"/>
    <w:rsid w:val="00912FC0"/>
    <w:rsid w:val="00A24DE3"/>
    <w:rsid w:val="00A3333E"/>
    <w:rsid w:val="00A43638"/>
    <w:rsid w:val="00A82042"/>
    <w:rsid w:val="00A85BA5"/>
    <w:rsid w:val="00AE603B"/>
    <w:rsid w:val="00B4236D"/>
    <w:rsid w:val="00B45F2B"/>
    <w:rsid w:val="00BB5058"/>
    <w:rsid w:val="00C0021A"/>
    <w:rsid w:val="00CF6FDB"/>
    <w:rsid w:val="00D0180A"/>
    <w:rsid w:val="00D13E0A"/>
    <w:rsid w:val="00E07ACC"/>
    <w:rsid w:val="00EE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84D1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F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02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02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02BF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02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02BF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02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02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02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02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02BF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02BF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02BF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02BF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02BF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02BF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02BF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02BF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02B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02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02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02BF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02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02BF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02BF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02BF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02BF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02BF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02BF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02BF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F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02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02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02BF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02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02BF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02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02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02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02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02BF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02BF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02BF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02BF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02BF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02BF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02BF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02BF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02B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02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02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02BF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02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02BF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02BF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02BF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02BF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02BF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02BF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02BF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2025-02-25T07:26:00Z</dcterms:created>
  <dcterms:modified xsi:type="dcterms:W3CDTF">2025-02-26T04:27:00Z</dcterms:modified>
</cp:coreProperties>
</file>