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4FA867" w14:textId="4A2103B7" w:rsidR="00D25A30" w:rsidRPr="007B731A" w:rsidRDefault="00D25A30" w:rsidP="00D25A30">
      <w:pPr>
        <w:jc w:val="center"/>
      </w:pPr>
      <w:r w:rsidRPr="007B731A">
        <w:rPr>
          <w:rtl/>
        </w:rPr>
        <w:t xml:space="preserve">درس الفقه </w:t>
      </w:r>
      <w:r>
        <w:rPr>
          <w:rFonts w:hint="cs"/>
          <w:rtl/>
        </w:rPr>
        <w:t>23</w:t>
      </w:r>
      <w:r w:rsidRPr="007B731A">
        <w:rPr>
          <w:rtl/>
        </w:rPr>
        <w:t xml:space="preserve"> </w:t>
      </w:r>
      <w:r>
        <w:rPr>
          <w:rFonts w:hint="cs"/>
          <w:rtl/>
        </w:rPr>
        <w:t>شعبان</w:t>
      </w:r>
      <w:r w:rsidRPr="007B731A">
        <w:rPr>
          <w:rtl/>
        </w:rPr>
        <w:t xml:space="preserve"> 1446هـ‏</w:t>
      </w:r>
    </w:p>
    <w:p w14:paraId="37FC32FD" w14:textId="78B29DBC" w:rsidR="00D25A30" w:rsidRPr="007B731A" w:rsidRDefault="00D25A30" w:rsidP="00D25A30">
      <w:pPr>
        <w:jc w:val="center"/>
        <w:rPr>
          <w:rtl/>
        </w:rPr>
      </w:pPr>
      <w:r>
        <w:rPr>
          <w:rFonts w:hint="cs"/>
          <w:rtl/>
        </w:rPr>
        <w:t>السبت</w:t>
      </w:r>
      <w:r w:rsidRPr="007B731A">
        <w:rPr>
          <w:rtl/>
        </w:rPr>
        <w:t xml:space="preserve"> </w:t>
      </w:r>
      <w:r>
        <w:rPr>
          <w:rFonts w:hint="cs"/>
          <w:rtl/>
        </w:rPr>
        <w:t>22 شباط</w:t>
      </w:r>
      <w:r w:rsidRPr="007B731A">
        <w:rPr>
          <w:rtl/>
        </w:rPr>
        <w:t xml:space="preserve"> 202</w:t>
      </w:r>
      <w:r>
        <w:rPr>
          <w:rFonts w:hint="cs"/>
          <w:rtl/>
        </w:rPr>
        <w:t>5</w:t>
      </w:r>
      <w:r w:rsidRPr="007B731A">
        <w:rPr>
          <w:rtl/>
        </w:rPr>
        <w:t>‏ م</w:t>
      </w:r>
    </w:p>
    <w:p w14:paraId="613CD6E5" w14:textId="09D23A89" w:rsidR="00D25A30" w:rsidRPr="007B731A" w:rsidRDefault="001341CC" w:rsidP="00D25A30">
      <w:pPr>
        <w:jc w:val="center"/>
        <w:rPr>
          <w:rtl/>
        </w:rPr>
      </w:pPr>
      <w:r>
        <w:rPr>
          <w:rFonts w:hint="cs"/>
          <w:rtl/>
        </w:rPr>
        <w:t xml:space="preserve">الموضوع: </w:t>
      </w:r>
      <w:bookmarkStart w:id="0" w:name="_GoBack"/>
      <w:bookmarkEnd w:id="0"/>
      <w:r w:rsidR="00D25A30" w:rsidRPr="007B731A">
        <w:rPr>
          <w:rtl/>
        </w:rPr>
        <w:t xml:space="preserve">لباس المصلي: </w:t>
      </w:r>
      <w:r w:rsidR="00100E79">
        <w:rPr>
          <w:rFonts w:hint="cs"/>
          <w:rtl/>
        </w:rPr>
        <w:t>بعض مستحبات الصلاة ومكان المصلي</w:t>
      </w:r>
      <w:r w:rsidR="00D25A30">
        <w:rPr>
          <w:rFonts w:hint="cs"/>
          <w:rtl/>
        </w:rPr>
        <w:t xml:space="preserve"> </w:t>
      </w:r>
    </w:p>
    <w:p w14:paraId="0CF950E4" w14:textId="77777777" w:rsidR="00D25A30" w:rsidRDefault="00D25A30" w:rsidP="00D25A30">
      <w:pPr>
        <w:jc w:val="center"/>
        <w:rPr>
          <w:rtl/>
        </w:rPr>
      </w:pPr>
      <w:r w:rsidRPr="007B731A">
        <w:rPr>
          <w:rtl/>
        </w:rPr>
        <w:t>بسم الله الرحمن الرحيم</w:t>
      </w:r>
    </w:p>
    <w:p w14:paraId="5A02A9D6" w14:textId="0A036ED3" w:rsidR="00D25A30" w:rsidRDefault="00CC5E24" w:rsidP="00D25A30">
      <w:pPr>
        <w:rPr>
          <w:rtl/>
        </w:rPr>
      </w:pPr>
      <w:r>
        <w:rPr>
          <w:rFonts w:hint="cs"/>
          <w:rtl/>
        </w:rPr>
        <w:t>بعض المستحبات التي ذكرها</w:t>
      </w:r>
      <w:r w:rsidR="00DD06DC">
        <w:rPr>
          <w:rFonts w:hint="cs"/>
          <w:rtl/>
        </w:rPr>
        <w:t xml:space="preserve"> الأعلام</w:t>
      </w:r>
      <w:r>
        <w:rPr>
          <w:rFonts w:hint="cs"/>
          <w:rtl/>
        </w:rPr>
        <w:t xml:space="preserve"> في</w:t>
      </w:r>
      <w:r w:rsidR="00DD06DC">
        <w:rPr>
          <w:rFonts w:hint="cs"/>
          <w:rtl/>
        </w:rPr>
        <w:t xml:space="preserve"> المقام،</w:t>
      </w:r>
      <w:r>
        <w:rPr>
          <w:rFonts w:hint="cs"/>
          <w:rtl/>
        </w:rPr>
        <w:t xml:space="preserve"> الصلاة</w:t>
      </w:r>
      <w:r w:rsidR="00DD06DC">
        <w:rPr>
          <w:rFonts w:hint="cs"/>
          <w:rtl/>
        </w:rPr>
        <w:t xml:space="preserve"> بالعمامة، واستدل عليه بروايات:</w:t>
      </w:r>
    </w:p>
    <w:p w14:paraId="084FA85C" w14:textId="4F0756EE" w:rsidR="00DD06DC" w:rsidRDefault="00DD06DC" w:rsidP="00D25A30">
      <w:pPr>
        <w:rPr>
          <w:rtl/>
        </w:rPr>
      </w:pPr>
      <w:r>
        <w:rPr>
          <w:rFonts w:hint="cs"/>
          <w:rtl/>
        </w:rPr>
        <w:t>منها الرواية الأولى من الباب الرابع والستين من أبواب لباس المصلي:</w:t>
      </w:r>
    </w:p>
    <w:p w14:paraId="50F5711E" w14:textId="31AF5F28" w:rsidR="00DD06DC" w:rsidRDefault="00DD06DC" w:rsidP="00DD06DC">
      <w:pPr>
        <w:rPr>
          <w:rFonts w:cs="Arial"/>
          <w:b/>
          <w:bCs/>
          <w:rtl/>
        </w:rPr>
      </w:pPr>
      <w:r w:rsidRPr="00DD06DC">
        <w:rPr>
          <w:rFonts w:cs="Arial"/>
          <w:b/>
          <w:bCs/>
          <w:rtl/>
        </w:rPr>
        <w:t xml:space="preserve">الحسن بن الفضل </w:t>
      </w:r>
      <w:proofErr w:type="spellStart"/>
      <w:r w:rsidRPr="00DD06DC">
        <w:rPr>
          <w:rFonts w:cs="Arial"/>
          <w:b/>
          <w:bCs/>
          <w:rtl/>
        </w:rPr>
        <w:t>الطبرسي</w:t>
      </w:r>
      <w:proofErr w:type="spellEnd"/>
      <w:r w:rsidRPr="00DD06DC">
        <w:rPr>
          <w:rFonts w:cs="Arial"/>
          <w:b/>
          <w:bCs/>
          <w:rtl/>
        </w:rPr>
        <w:t xml:space="preserve"> في (مكارم الأخلاق) عن النبي (صلى</w:t>
      </w:r>
      <w:r w:rsidRPr="00DD06DC">
        <w:rPr>
          <w:rFonts w:cs="Arial" w:hint="cs"/>
          <w:b/>
          <w:bCs/>
          <w:rtl/>
        </w:rPr>
        <w:t xml:space="preserve"> </w:t>
      </w:r>
      <w:r w:rsidRPr="00DD06DC">
        <w:rPr>
          <w:rFonts w:cs="Arial"/>
          <w:b/>
          <w:bCs/>
          <w:rtl/>
        </w:rPr>
        <w:t>الله عليه وآله) قال: ركعتان مع العمامة خير من أربع ركعات بغير عمامة</w:t>
      </w:r>
      <w:r w:rsidRPr="00DD06DC">
        <w:rPr>
          <w:rFonts w:cs="Arial" w:hint="cs"/>
          <w:b/>
          <w:bCs/>
          <w:rtl/>
        </w:rPr>
        <w:t>.</w:t>
      </w:r>
    </w:p>
    <w:p w14:paraId="15E16AD7" w14:textId="6D18C4BB" w:rsidR="00DD06DC" w:rsidRPr="00E80796" w:rsidRDefault="00E80796" w:rsidP="00DD06DC">
      <w:pPr>
        <w:rPr>
          <w:rtl/>
        </w:rPr>
      </w:pPr>
      <w:r w:rsidRPr="00E80796">
        <w:rPr>
          <w:rFonts w:hint="cs"/>
          <w:rtl/>
        </w:rPr>
        <w:t>وهذه الرواية ضعيفة، ومن اعتمد عليها استند إلى قاعدة التسامح بأدلة السنن، ولكن ذكرنا مراراً أن هذه القاعدة غير تامة عندنا.</w:t>
      </w:r>
    </w:p>
    <w:p w14:paraId="3D6D7D9A" w14:textId="66B010C6" w:rsidR="00E80796" w:rsidRDefault="00E80796" w:rsidP="00DD06DC">
      <w:pPr>
        <w:rPr>
          <w:rtl/>
        </w:rPr>
      </w:pPr>
      <w:r>
        <w:rPr>
          <w:rFonts w:hint="cs"/>
          <w:rtl/>
        </w:rPr>
        <w:t xml:space="preserve">وكذلك الرواية الثانية </w:t>
      </w:r>
      <w:r w:rsidR="0067244B">
        <w:rPr>
          <w:rFonts w:hint="cs"/>
          <w:rtl/>
        </w:rPr>
        <w:t xml:space="preserve">والثالثة </w:t>
      </w:r>
      <w:r>
        <w:rPr>
          <w:rFonts w:hint="cs"/>
          <w:rtl/>
        </w:rPr>
        <w:t>من نفس الباب:</w:t>
      </w:r>
    </w:p>
    <w:p w14:paraId="334CD63E" w14:textId="59AB8718" w:rsidR="00E80796" w:rsidRDefault="00E80796" w:rsidP="00E80796">
      <w:pPr>
        <w:rPr>
          <w:rFonts w:cs="Arial"/>
          <w:b/>
          <w:bCs/>
          <w:rtl/>
        </w:rPr>
      </w:pPr>
      <w:r>
        <w:rPr>
          <w:rFonts w:cs="Arial"/>
          <w:rtl/>
        </w:rPr>
        <w:t xml:space="preserve">الشهيد </w:t>
      </w:r>
      <w:r>
        <w:rPr>
          <w:rFonts w:cs="Arial" w:hint="cs"/>
          <w:rtl/>
        </w:rPr>
        <w:t xml:space="preserve">الأول (رض) </w:t>
      </w:r>
      <w:r>
        <w:rPr>
          <w:rFonts w:cs="Arial"/>
          <w:rtl/>
        </w:rPr>
        <w:t>في (الذكرى) قال: روي ركعة بسراويل</w:t>
      </w:r>
      <w:r>
        <w:rPr>
          <w:rFonts w:cs="Arial" w:hint="cs"/>
          <w:rtl/>
        </w:rPr>
        <w:t xml:space="preserve"> </w:t>
      </w:r>
      <w:r>
        <w:rPr>
          <w:rFonts w:cs="Arial"/>
          <w:rtl/>
        </w:rPr>
        <w:t>تعدل أربعا بغيره</w:t>
      </w:r>
      <w:r>
        <w:rPr>
          <w:rFonts w:cs="Arial" w:hint="cs"/>
          <w:rtl/>
        </w:rPr>
        <w:t xml:space="preserve">، </w:t>
      </w:r>
      <w:r w:rsidRPr="0067244B">
        <w:rPr>
          <w:rFonts w:cs="Arial"/>
          <w:b/>
          <w:bCs/>
          <w:rtl/>
        </w:rPr>
        <w:t>قال: وكذا روي في العمامة</w:t>
      </w:r>
      <w:r w:rsidR="0067244B" w:rsidRPr="0067244B">
        <w:rPr>
          <w:rFonts w:cs="Arial" w:hint="cs"/>
          <w:b/>
          <w:bCs/>
          <w:rtl/>
        </w:rPr>
        <w:t>.</w:t>
      </w:r>
    </w:p>
    <w:p w14:paraId="2556DD80" w14:textId="3B937558" w:rsidR="0067244B" w:rsidRDefault="0080192F" w:rsidP="00E80796">
      <w:pPr>
        <w:rPr>
          <w:rtl/>
        </w:rPr>
      </w:pPr>
      <w:r>
        <w:rPr>
          <w:rFonts w:hint="cs"/>
          <w:rtl/>
        </w:rPr>
        <w:t>وهذه الرواية مرسلة واستندوا فيها على نفس القاعدة.</w:t>
      </w:r>
    </w:p>
    <w:p w14:paraId="28AFAA73" w14:textId="0D916066" w:rsidR="00306F07" w:rsidRDefault="008A0367">
      <w:pPr>
        <w:rPr>
          <w:rtl/>
        </w:rPr>
      </w:pPr>
      <w:r>
        <w:rPr>
          <w:rFonts w:hint="cs"/>
          <w:rtl/>
        </w:rPr>
        <w:t xml:space="preserve">واستطراداً </w:t>
      </w:r>
      <w:r w:rsidR="002A6620">
        <w:rPr>
          <w:rFonts w:hint="cs"/>
          <w:rtl/>
        </w:rPr>
        <w:t xml:space="preserve">نذكر أن الروايات الشريفة في </w:t>
      </w:r>
      <w:proofErr w:type="spellStart"/>
      <w:r w:rsidR="002A6620">
        <w:rPr>
          <w:rFonts w:hint="cs"/>
          <w:rtl/>
        </w:rPr>
        <w:t>التحنك</w:t>
      </w:r>
      <w:proofErr w:type="spellEnd"/>
      <w:r w:rsidR="002A6620">
        <w:rPr>
          <w:rFonts w:hint="cs"/>
          <w:rtl/>
        </w:rPr>
        <w:t xml:space="preserve"> بالعمامة، وقد فسر بعض الفقهاء (رض) أن </w:t>
      </w:r>
      <w:proofErr w:type="spellStart"/>
      <w:r w:rsidR="002A6620">
        <w:rPr>
          <w:rFonts w:hint="cs"/>
          <w:rtl/>
        </w:rPr>
        <w:t>التحنك</w:t>
      </w:r>
      <w:proofErr w:type="spellEnd"/>
      <w:r w:rsidR="002A6620">
        <w:rPr>
          <w:rFonts w:hint="cs"/>
          <w:rtl/>
        </w:rPr>
        <w:t xml:space="preserve"> يكفي فيه وجود الذيل في العمامة كعمامة الطلبة الإمامية في مقابل غيرهم الذي ليس لعمامتهم </w:t>
      </w:r>
      <w:r w:rsidR="00686E3B">
        <w:rPr>
          <w:rFonts w:hint="cs"/>
          <w:rtl/>
        </w:rPr>
        <w:t>ذيل.</w:t>
      </w:r>
    </w:p>
    <w:p w14:paraId="34CC9532" w14:textId="338C601F" w:rsidR="00686E3B" w:rsidRDefault="00686E3B">
      <w:pPr>
        <w:rPr>
          <w:rtl/>
        </w:rPr>
      </w:pPr>
      <w:r>
        <w:rPr>
          <w:rFonts w:hint="cs"/>
          <w:rtl/>
        </w:rPr>
        <w:t xml:space="preserve">وكلامه ليس واضحاً، بل </w:t>
      </w:r>
      <w:proofErr w:type="spellStart"/>
      <w:r>
        <w:rPr>
          <w:rFonts w:hint="cs"/>
          <w:rtl/>
        </w:rPr>
        <w:t>التحنك</w:t>
      </w:r>
      <w:proofErr w:type="spellEnd"/>
      <w:r>
        <w:rPr>
          <w:rFonts w:hint="cs"/>
          <w:rtl/>
        </w:rPr>
        <w:t xml:space="preserve"> هو خصوص جر الذيل تحت الحنك، فلا يكفي وجود الذيل في العمامة.</w:t>
      </w:r>
    </w:p>
    <w:p w14:paraId="451B1D17" w14:textId="669470B7" w:rsidR="00686E3B" w:rsidRDefault="00952D78">
      <w:pPr>
        <w:rPr>
          <w:rtl/>
        </w:rPr>
      </w:pPr>
      <w:r>
        <w:rPr>
          <w:rFonts w:hint="cs"/>
          <w:rtl/>
        </w:rPr>
        <w:t>ويدل عليه الرواية الثانية من الباب السادس والعشرين من أبواب لباس المصلي:</w:t>
      </w:r>
    </w:p>
    <w:p w14:paraId="2634C420" w14:textId="4E7BFCD7" w:rsidR="00952D78" w:rsidRDefault="00952D78" w:rsidP="00952D78">
      <w:pPr>
        <w:rPr>
          <w:rFonts w:cs="Arial"/>
          <w:b/>
          <w:bCs/>
          <w:rtl/>
        </w:rPr>
      </w:pPr>
      <w:r>
        <w:rPr>
          <w:rFonts w:cs="Arial" w:hint="cs"/>
          <w:rtl/>
        </w:rPr>
        <w:t xml:space="preserve">روى </w:t>
      </w:r>
      <w:proofErr w:type="spellStart"/>
      <w:r>
        <w:rPr>
          <w:rFonts w:cs="Arial" w:hint="cs"/>
          <w:rtl/>
        </w:rPr>
        <w:t>الكليني</w:t>
      </w:r>
      <w:proofErr w:type="spellEnd"/>
      <w:r>
        <w:rPr>
          <w:rFonts w:cs="Arial" w:hint="cs"/>
          <w:rtl/>
        </w:rPr>
        <w:t xml:space="preserve"> </w:t>
      </w:r>
      <w:r>
        <w:rPr>
          <w:rFonts w:cs="Arial"/>
          <w:rtl/>
        </w:rPr>
        <w:t>عن عدة من أصحابنا، عن سهل بن زياد، عن موسى بن جعفر</w:t>
      </w:r>
      <w:r>
        <w:rPr>
          <w:rFonts w:cs="Arial" w:hint="cs"/>
          <w:rtl/>
        </w:rPr>
        <w:t xml:space="preserve"> </w:t>
      </w:r>
      <w:r>
        <w:rPr>
          <w:rFonts w:cs="Arial"/>
          <w:rtl/>
        </w:rPr>
        <w:t xml:space="preserve">البغدادي، عن عمرو بن سعيد، </w:t>
      </w:r>
      <w:r w:rsidRPr="00952D78">
        <w:rPr>
          <w:rFonts w:cs="Arial"/>
          <w:b/>
          <w:bCs/>
          <w:rtl/>
        </w:rPr>
        <w:t>عن عيسى بن حمزة، عن أبي عبد الله (عليه</w:t>
      </w:r>
      <w:r w:rsidRPr="00952D78">
        <w:rPr>
          <w:rFonts w:cs="Arial" w:hint="cs"/>
          <w:b/>
          <w:bCs/>
          <w:rtl/>
        </w:rPr>
        <w:t xml:space="preserve"> </w:t>
      </w:r>
      <w:r w:rsidRPr="00952D78">
        <w:rPr>
          <w:rFonts w:cs="Arial"/>
          <w:b/>
          <w:bCs/>
          <w:rtl/>
        </w:rPr>
        <w:t>السلام) قال: من اعتم فلم يدر العمامة تحت حنكه فأصابه ألم لا دواء له فلا</w:t>
      </w:r>
      <w:r w:rsidRPr="00952D78">
        <w:rPr>
          <w:rFonts w:cs="Arial" w:hint="cs"/>
          <w:b/>
          <w:bCs/>
          <w:rtl/>
        </w:rPr>
        <w:t xml:space="preserve"> </w:t>
      </w:r>
      <w:r w:rsidRPr="00952D78">
        <w:rPr>
          <w:rFonts w:cs="Arial"/>
          <w:b/>
          <w:bCs/>
          <w:rtl/>
        </w:rPr>
        <w:t>يلومن إلا نفسه.</w:t>
      </w:r>
    </w:p>
    <w:p w14:paraId="55DD3135" w14:textId="158707D5" w:rsidR="00952D78" w:rsidRDefault="00952D78" w:rsidP="00952D78">
      <w:pPr>
        <w:rPr>
          <w:rFonts w:cs="Arial"/>
          <w:rtl/>
        </w:rPr>
      </w:pPr>
      <w:r>
        <w:rPr>
          <w:rFonts w:cs="Arial" w:hint="cs"/>
          <w:rtl/>
        </w:rPr>
        <w:t xml:space="preserve">وهذه الرواية وإن كانت ضعيفة </w:t>
      </w:r>
      <w:r w:rsidR="006F517A">
        <w:rPr>
          <w:rFonts w:cs="Arial" w:hint="cs"/>
          <w:rtl/>
        </w:rPr>
        <w:t>إلا شرحت كيفية إدارة الحنك، بخلاف الرواية الأولى من نفس الباب وهي معتبرة:</w:t>
      </w:r>
    </w:p>
    <w:p w14:paraId="6E47F737" w14:textId="274FF8D5" w:rsidR="006F517A" w:rsidRDefault="006F517A" w:rsidP="006F517A">
      <w:pPr>
        <w:rPr>
          <w:rFonts w:cs="Arial"/>
          <w:b/>
          <w:bCs/>
          <w:rtl/>
        </w:rPr>
      </w:pPr>
      <w:r w:rsidRPr="006F517A">
        <w:rPr>
          <w:rFonts w:cs="Arial"/>
          <w:b/>
          <w:bCs/>
          <w:rtl/>
        </w:rPr>
        <w:t xml:space="preserve">عن أبي عبد الله </w:t>
      </w:r>
      <w:r w:rsidRPr="006F517A">
        <w:rPr>
          <w:rFonts w:cs="Arial" w:hint="cs"/>
          <w:b/>
          <w:bCs/>
          <w:rtl/>
        </w:rPr>
        <w:t>(عليه</w:t>
      </w:r>
      <w:r w:rsidRPr="006F517A">
        <w:rPr>
          <w:rFonts w:cs="Arial"/>
          <w:b/>
          <w:bCs/>
          <w:rtl/>
        </w:rPr>
        <w:t xml:space="preserve"> </w:t>
      </w:r>
      <w:r w:rsidRPr="006F517A">
        <w:rPr>
          <w:rFonts w:cs="Arial" w:hint="cs"/>
          <w:b/>
          <w:bCs/>
          <w:rtl/>
        </w:rPr>
        <w:t>السلام)</w:t>
      </w:r>
      <w:r w:rsidRPr="006F517A">
        <w:rPr>
          <w:rFonts w:cs="Arial"/>
          <w:b/>
          <w:bCs/>
          <w:rtl/>
        </w:rPr>
        <w:t xml:space="preserve"> قال: من تعمم ولم يحنك</w:t>
      </w:r>
      <w:r w:rsidRPr="006F517A">
        <w:rPr>
          <w:rFonts w:cs="Arial" w:hint="cs"/>
          <w:b/>
          <w:bCs/>
          <w:rtl/>
        </w:rPr>
        <w:t xml:space="preserve"> </w:t>
      </w:r>
      <w:r w:rsidRPr="006F517A">
        <w:rPr>
          <w:rFonts w:cs="Arial"/>
          <w:b/>
          <w:bCs/>
          <w:rtl/>
        </w:rPr>
        <w:t>فأصابه داء لا دواء له فلا يلومن إلا نفسه.</w:t>
      </w:r>
    </w:p>
    <w:p w14:paraId="0D5EF734" w14:textId="183FBACB" w:rsidR="006F517A" w:rsidRDefault="00760F90" w:rsidP="006F517A">
      <w:pPr>
        <w:rPr>
          <w:rtl/>
        </w:rPr>
      </w:pPr>
      <w:r>
        <w:rPr>
          <w:rFonts w:hint="cs"/>
          <w:rtl/>
        </w:rPr>
        <w:t>وكذلك الرواية الثالثة من نفس الباب:</w:t>
      </w:r>
    </w:p>
    <w:p w14:paraId="3CD447F5" w14:textId="3E8FCD05" w:rsidR="00760F90" w:rsidRDefault="00760F90" w:rsidP="00760F90">
      <w:pPr>
        <w:rPr>
          <w:rFonts w:cs="Arial"/>
          <w:b/>
          <w:bCs/>
          <w:rtl/>
        </w:rPr>
      </w:pPr>
      <w:r>
        <w:rPr>
          <w:rFonts w:cs="Arial"/>
          <w:rtl/>
        </w:rPr>
        <w:t xml:space="preserve">عن أبي علي </w:t>
      </w:r>
      <w:r>
        <w:rPr>
          <w:rFonts w:cs="Arial" w:hint="cs"/>
          <w:rtl/>
        </w:rPr>
        <w:t>الأشعري،</w:t>
      </w:r>
      <w:r>
        <w:rPr>
          <w:rFonts w:cs="Arial"/>
          <w:rtl/>
        </w:rPr>
        <w:t xml:space="preserve"> عن بعض </w:t>
      </w:r>
      <w:r>
        <w:rPr>
          <w:rFonts w:cs="Arial" w:hint="cs"/>
          <w:rtl/>
        </w:rPr>
        <w:t>أصحابه</w:t>
      </w:r>
      <w:r w:rsidRPr="00760F90">
        <w:rPr>
          <w:rFonts w:cs="Arial" w:hint="cs"/>
          <w:b/>
          <w:bCs/>
          <w:rtl/>
        </w:rPr>
        <w:t>،</w:t>
      </w:r>
      <w:r w:rsidRPr="00760F90">
        <w:rPr>
          <w:rFonts w:cs="Arial"/>
          <w:b/>
          <w:bCs/>
          <w:rtl/>
        </w:rPr>
        <w:t xml:space="preserve"> عن علي بن</w:t>
      </w:r>
      <w:r w:rsidRPr="00760F90">
        <w:rPr>
          <w:rFonts w:cs="Arial" w:hint="cs"/>
          <w:b/>
          <w:bCs/>
          <w:rtl/>
        </w:rPr>
        <w:t xml:space="preserve"> </w:t>
      </w:r>
      <w:r w:rsidRPr="00760F90">
        <w:rPr>
          <w:rFonts w:cs="Arial"/>
          <w:b/>
          <w:bCs/>
          <w:rtl/>
        </w:rPr>
        <w:t xml:space="preserve">الحكم رفعه إلى أبي عبد الله </w:t>
      </w:r>
      <w:r w:rsidRPr="00760F90">
        <w:rPr>
          <w:rFonts w:cs="Arial" w:hint="cs"/>
          <w:b/>
          <w:bCs/>
          <w:rtl/>
        </w:rPr>
        <w:t>(عليه</w:t>
      </w:r>
      <w:r w:rsidRPr="00760F90">
        <w:rPr>
          <w:rFonts w:cs="Arial"/>
          <w:b/>
          <w:bCs/>
          <w:rtl/>
        </w:rPr>
        <w:t xml:space="preserve"> </w:t>
      </w:r>
      <w:r w:rsidRPr="00760F90">
        <w:rPr>
          <w:rFonts w:cs="Arial" w:hint="cs"/>
          <w:b/>
          <w:bCs/>
          <w:rtl/>
        </w:rPr>
        <w:t>السلام)</w:t>
      </w:r>
      <w:r w:rsidRPr="00760F90">
        <w:rPr>
          <w:rFonts w:cs="Arial"/>
          <w:b/>
          <w:bCs/>
          <w:rtl/>
        </w:rPr>
        <w:t xml:space="preserve"> </w:t>
      </w:r>
      <w:r w:rsidRPr="00760F90">
        <w:rPr>
          <w:rFonts w:cs="Arial" w:hint="cs"/>
          <w:b/>
          <w:bCs/>
          <w:rtl/>
        </w:rPr>
        <w:t>قال:</w:t>
      </w:r>
      <w:r w:rsidRPr="00760F90">
        <w:rPr>
          <w:rFonts w:cs="Arial"/>
          <w:b/>
          <w:bCs/>
          <w:rtl/>
        </w:rPr>
        <w:t xml:space="preserve"> من خرج من منزله معتما تحت</w:t>
      </w:r>
      <w:r w:rsidRPr="00760F90">
        <w:rPr>
          <w:rFonts w:cs="Arial" w:hint="cs"/>
          <w:b/>
          <w:bCs/>
          <w:rtl/>
        </w:rPr>
        <w:t xml:space="preserve"> </w:t>
      </w:r>
      <w:r w:rsidRPr="00760F90">
        <w:rPr>
          <w:rFonts w:cs="Arial"/>
          <w:b/>
          <w:bCs/>
          <w:rtl/>
        </w:rPr>
        <w:t>حنكه يريد سفرا</w:t>
      </w:r>
      <w:r w:rsidRPr="00760F90">
        <w:rPr>
          <w:rFonts w:cs="Arial" w:hint="cs"/>
          <w:b/>
          <w:bCs/>
          <w:rtl/>
        </w:rPr>
        <w:t>ً</w:t>
      </w:r>
      <w:r w:rsidRPr="00760F90">
        <w:rPr>
          <w:rFonts w:cs="Arial"/>
          <w:b/>
          <w:bCs/>
          <w:rtl/>
        </w:rPr>
        <w:t xml:space="preserve"> لم يصبه في سفره سرق ولا حرق ولا </w:t>
      </w:r>
      <w:r w:rsidRPr="00760F90">
        <w:rPr>
          <w:rFonts w:cs="Arial" w:hint="cs"/>
          <w:b/>
          <w:bCs/>
          <w:rtl/>
        </w:rPr>
        <w:t>مكروه.</w:t>
      </w:r>
    </w:p>
    <w:p w14:paraId="2E05401D" w14:textId="2E43354B" w:rsidR="00760F90" w:rsidRDefault="00760F90" w:rsidP="00760F90">
      <w:pPr>
        <w:rPr>
          <w:rFonts w:cs="Arial"/>
          <w:rtl/>
        </w:rPr>
      </w:pPr>
      <w:r>
        <w:rPr>
          <w:rFonts w:cs="Arial" w:hint="cs"/>
          <w:rtl/>
        </w:rPr>
        <w:t xml:space="preserve">وهذه أيضاً وإن كانت ضعيفة إلا أنها تشرح كيفية </w:t>
      </w:r>
      <w:proofErr w:type="spellStart"/>
      <w:r>
        <w:rPr>
          <w:rFonts w:cs="Arial" w:hint="cs"/>
          <w:rtl/>
        </w:rPr>
        <w:t>التحنك</w:t>
      </w:r>
      <w:proofErr w:type="spellEnd"/>
      <w:r>
        <w:rPr>
          <w:rFonts w:cs="Arial" w:hint="cs"/>
          <w:rtl/>
        </w:rPr>
        <w:t>.</w:t>
      </w:r>
    </w:p>
    <w:p w14:paraId="01E0D883" w14:textId="534AEBAA" w:rsidR="00760F90" w:rsidRDefault="00DF763E" w:rsidP="00760F90">
      <w:pPr>
        <w:rPr>
          <w:rFonts w:cs="Arial"/>
          <w:rtl/>
        </w:rPr>
      </w:pPr>
      <w:r>
        <w:rPr>
          <w:rFonts w:cs="Arial" w:hint="cs"/>
          <w:rtl/>
        </w:rPr>
        <w:t>وكذلك</w:t>
      </w:r>
      <w:r w:rsidR="00760F90">
        <w:rPr>
          <w:rFonts w:cs="Arial" w:hint="cs"/>
          <w:rtl/>
        </w:rPr>
        <w:t xml:space="preserve"> الرواية الخامسة من نفس الباب:</w:t>
      </w:r>
    </w:p>
    <w:p w14:paraId="76BC33AE" w14:textId="10C9904C" w:rsidR="00760F90" w:rsidRDefault="00DF763E" w:rsidP="00A03327">
      <w:pPr>
        <w:rPr>
          <w:rFonts w:cs="Arial"/>
          <w:b/>
          <w:bCs/>
          <w:rtl/>
        </w:rPr>
      </w:pPr>
      <w:r w:rsidRPr="00A03327">
        <w:rPr>
          <w:rFonts w:cs="Arial"/>
          <w:b/>
          <w:bCs/>
          <w:rtl/>
        </w:rPr>
        <w:t xml:space="preserve">عن عمار </w:t>
      </w:r>
      <w:proofErr w:type="spellStart"/>
      <w:r w:rsidRPr="00A03327">
        <w:rPr>
          <w:rFonts w:cs="Arial"/>
          <w:b/>
          <w:bCs/>
          <w:rtl/>
        </w:rPr>
        <w:t>الساباطي</w:t>
      </w:r>
      <w:proofErr w:type="spellEnd"/>
      <w:r w:rsidRPr="00A03327">
        <w:rPr>
          <w:rFonts w:cs="Arial"/>
          <w:b/>
          <w:bCs/>
          <w:rtl/>
        </w:rPr>
        <w:t>، عن أبي</w:t>
      </w:r>
      <w:r w:rsidRPr="00A03327">
        <w:rPr>
          <w:rFonts w:cs="Arial" w:hint="cs"/>
          <w:b/>
          <w:bCs/>
          <w:rtl/>
        </w:rPr>
        <w:t xml:space="preserve"> </w:t>
      </w:r>
      <w:r w:rsidRPr="00A03327">
        <w:rPr>
          <w:rFonts w:cs="Arial"/>
          <w:b/>
          <w:bCs/>
          <w:rtl/>
        </w:rPr>
        <w:t xml:space="preserve">عبد الله </w:t>
      </w:r>
      <w:r w:rsidRPr="00A03327">
        <w:rPr>
          <w:rFonts w:cs="Arial" w:hint="cs"/>
          <w:b/>
          <w:bCs/>
          <w:rtl/>
        </w:rPr>
        <w:t>(عليه</w:t>
      </w:r>
      <w:r w:rsidRPr="00A03327">
        <w:rPr>
          <w:rFonts w:cs="Arial"/>
          <w:b/>
          <w:bCs/>
          <w:rtl/>
        </w:rPr>
        <w:t xml:space="preserve"> </w:t>
      </w:r>
      <w:r w:rsidRPr="00A03327">
        <w:rPr>
          <w:rFonts w:cs="Arial" w:hint="cs"/>
          <w:b/>
          <w:bCs/>
          <w:rtl/>
        </w:rPr>
        <w:t>السلام)،</w:t>
      </w:r>
      <w:r w:rsidRPr="00A03327">
        <w:rPr>
          <w:rFonts w:cs="Arial"/>
          <w:b/>
          <w:bCs/>
          <w:rtl/>
        </w:rPr>
        <w:t xml:space="preserve"> أنه </w:t>
      </w:r>
      <w:r w:rsidRPr="00A03327">
        <w:rPr>
          <w:rFonts w:cs="Arial" w:hint="cs"/>
          <w:b/>
          <w:bCs/>
          <w:rtl/>
        </w:rPr>
        <w:t>قال:</w:t>
      </w:r>
      <w:r w:rsidRPr="00A03327">
        <w:rPr>
          <w:rFonts w:cs="Arial"/>
          <w:b/>
          <w:bCs/>
          <w:rtl/>
        </w:rPr>
        <w:t xml:space="preserve"> من خرج في سفر فلم يدر العمامة تحت حنكه</w:t>
      </w:r>
      <w:r w:rsidRPr="00A03327">
        <w:rPr>
          <w:rFonts w:cs="Arial" w:hint="cs"/>
          <w:b/>
          <w:bCs/>
          <w:rtl/>
        </w:rPr>
        <w:t xml:space="preserve"> </w:t>
      </w:r>
      <w:r w:rsidRPr="00A03327">
        <w:rPr>
          <w:rFonts w:cs="Arial"/>
          <w:b/>
          <w:bCs/>
          <w:rtl/>
        </w:rPr>
        <w:t xml:space="preserve">فأصابه ألم لا دواء له فلا يلومن إلا </w:t>
      </w:r>
      <w:r w:rsidRPr="00A03327">
        <w:rPr>
          <w:rFonts w:cs="Arial" w:hint="cs"/>
          <w:b/>
          <w:bCs/>
          <w:rtl/>
        </w:rPr>
        <w:t>نفسه.</w:t>
      </w:r>
    </w:p>
    <w:p w14:paraId="75C39207" w14:textId="6ED2BEE1" w:rsidR="00A03327" w:rsidRDefault="00A03327" w:rsidP="00A03327">
      <w:pPr>
        <w:rPr>
          <w:rFonts w:cs="Arial"/>
          <w:rtl/>
        </w:rPr>
      </w:pPr>
      <w:r>
        <w:rPr>
          <w:rFonts w:cs="Arial" w:hint="cs"/>
          <w:rtl/>
        </w:rPr>
        <w:t>وكذلك الرواية الثامنة من نفس الباب:</w:t>
      </w:r>
    </w:p>
    <w:p w14:paraId="416D6DC9" w14:textId="7AD90B38" w:rsidR="00A03327" w:rsidRDefault="00A03327" w:rsidP="00A03327">
      <w:pPr>
        <w:rPr>
          <w:rFonts w:cs="Arial"/>
          <w:b/>
          <w:bCs/>
          <w:rtl/>
        </w:rPr>
      </w:pPr>
      <w:r w:rsidRPr="00A03327">
        <w:rPr>
          <w:rFonts w:cs="Arial" w:hint="cs"/>
          <w:b/>
          <w:bCs/>
          <w:rtl/>
        </w:rPr>
        <w:t xml:space="preserve">قال </w:t>
      </w:r>
      <w:r w:rsidRPr="00A03327">
        <w:rPr>
          <w:rFonts w:cs="Arial"/>
          <w:b/>
          <w:bCs/>
          <w:rtl/>
        </w:rPr>
        <w:t>(</w:t>
      </w:r>
      <w:r w:rsidRPr="00A03327">
        <w:rPr>
          <w:rFonts w:cs="Arial" w:hint="cs"/>
          <w:b/>
          <w:bCs/>
          <w:rtl/>
        </w:rPr>
        <w:t xml:space="preserve">أي عمار </w:t>
      </w:r>
      <w:proofErr w:type="spellStart"/>
      <w:r w:rsidRPr="00A03327">
        <w:rPr>
          <w:rFonts w:cs="Arial" w:hint="cs"/>
          <w:b/>
          <w:bCs/>
          <w:rtl/>
        </w:rPr>
        <w:t>الساباطي</w:t>
      </w:r>
      <w:proofErr w:type="spellEnd"/>
      <w:r w:rsidRPr="00A03327">
        <w:rPr>
          <w:rFonts w:cs="Arial" w:hint="cs"/>
          <w:b/>
          <w:bCs/>
          <w:rtl/>
        </w:rPr>
        <w:t>)</w:t>
      </w:r>
      <w:r w:rsidRPr="00A03327">
        <w:rPr>
          <w:rFonts w:cs="Arial"/>
          <w:b/>
          <w:bCs/>
          <w:rtl/>
        </w:rPr>
        <w:t>: وقال النبي (صلى الله عليه وآله): الفرق بين المسلمين</w:t>
      </w:r>
      <w:r w:rsidRPr="00A03327">
        <w:rPr>
          <w:rFonts w:cs="Arial" w:hint="cs"/>
          <w:b/>
          <w:bCs/>
          <w:rtl/>
        </w:rPr>
        <w:t xml:space="preserve"> </w:t>
      </w:r>
      <w:r w:rsidRPr="00A03327">
        <w:rPr>
          <w:rFonts w:cs="Arial"/>
          <w:b/>
          <w:bCs/>
          <w:rtl/>
        </w:rPr>
        <w:t>والمشركين التلحي بالعمائم.</w:t>
      </w:r>
    </w:p>
    <w:p w14:paraId="2015B792" w14:textId="339A2F4E" w:rsidR="00A43968" w:rsidRDefault="00181458" w:rsidP="00A03327">
      <w:pPr>
        <w:rPr>
          <w:rtl/>
        </w:rPr>
      </w:pPr>
      <w:r>
        <w:rPr>
          <w:rFonts w:hint="cs"/>
          <w:rtl/>
        </w:rPr>
        <w:lastRenderedPageBreak/>
        <w:t xml:space="preserve">على كل حال، وعوداً على بدء فقد عرضنا هذه الروايات تأييداً لسيدنا الأعظم عندما ذكر أنها ضعيفة وأن الظاهر من صاحب الوسائل (رض) </w:t>
      </w:r>
      <w:r w:rsidR="00AE60DE">
        <w:rPr>
          <w:rFonts w:hint="cs"/>
          <w:rtl/>
        </w:rPr>
        <w:t>اعتمد على قاعدة التسامح.</w:t>
      </w:r>
    </w:p>
    <w:p w14:paraId="7E7598F6" w14:textId="77777777" w:rsidR="00AE60DE" w:rsidRDefault="00AE60DE" w:rsidP="00A03327">
      <w:pPr>
        <w:rPr>
          <w:rtl/>
        </w:rPr>
      </w:pPr>
    </w:p>
    <w:p w14:paraId="63DA138B" w14:textId="2A1428FF" w:rsidR="00AE60DE" w:rsidRDefault="00AE60DE" w:rsidP="00A03327">
      <w:pPr>
        <w:rPr>
          <w:rtl/>
        </w:rPr>
      </w:pPr>
      <w:r>
        <w:rPr>
          <w:rFonts w:hint="cs"/>
          <w:rtl/>
        </w:rPr>
        <w:t>وبحول الله نشرع ببحث مكان المصلي:</w:t>
      </w:r>
    </w:p>
    <w:p w14:paraId="53A3DAC9" w14:textId="7785C21F" w:rsidR="00AE60DE" w:rsidRDefault="00394E0E" w:rsidP="00A03327">
      <w:pPr>
        <w:rPr>
          <w:rtl/>
        </w:rPr>
      </w:pPr>
      <w:r>
        <w:rPr>
          <w:rFonts w:hint="cs"/>
          <w:rtl/>
        </w:rPr>
        <w:t xml:space="preserve">ذكر سيدنا الأعظم أن للمكان </w:t>
      </w:r>
      <w:r w:rsidR="000A20DA">
        <w:rPr>
          <w:rFonts w:hint="cs"/>
          <w:rtl/>
        </w:rPr>
        <w:t>معنيي</w:t>
      </w:r>
      <w:r w:rsidR="000A20DA">
        <w:rPr>
          <w:rFonts w:hint="eastAsia"/>
          <w:rtl/>
        </w:rPr>
        <w:t>ن</w:t>
      </w:r>
      <w:r>
        <w:rPr>
          <w:rFonts w:hint="cs"/>
          <w:rtl/>
        </w:rPr>
        <w:t>:</w:t>
      </w:r>
    </w:p>
    <w:p w14:paraId="7D210D03" w14:textId="70A3D65D" w:rsidR="00394E0E" w:rsidRDefault="00394E0E" w:rsidP="00A03327">
      <w:pPr>
        <w:rPr>
          <w:rtl/>
        </w:rPr>
      </w:pPr>
      <w:r>
        <w:rPr>
          <w:rFonts w:hint="cs"/>
          <w:rtl/>
        </w:rPr>
        <w:t xml:space="preserve">الأول: </w:t>
      </w:r>
      <w:r w:rsidR="000A20DA">
        <w:rPr>
          <w:rFonts w:hint="cs"/>
          <w:rtl/>
        </w:rPr>
        <w:t>ظرف الشيء الذي يستقر به.</w:t>
      </w:r>
    </w:p>
    <w:p w14:paraId="0339131C" w14:textId="6CF6A788" w:rsidR="000A20DA" w:rsidRDefault="000A20DA" w:rsidP="00A03327">
      <w:pPr>
        <w:rPr>
          <w:rtl/>
        </w:rPr>
      </w:pPr>
      <w:r>
        <w:rPr>
          <w:rFonts w:hint="cs"/>
          <w:rtl/>
        </w:rPr>
        <w:t xml:space="preserve">الثاني: </w:t>
      </w:r>
      <w:r w:rsidR="003F10D6">
        <w:rPr>
          <w:rFonts w:hint="cs"/>
          <w:rtl/>
        </w:rPr>
        <w:t>حيز الجسم الطبيعي، والفراغ المحيط به، وق</w:t>
      </w:r>
      <w:r w:rsidR="00D1374D">
        <w:rPr>
          <w:rFonts w:hint="cs"/>
          <w:rtl/>
        </w:rPr>
        <w:t>د</w:t>
      </w:r>
      <w:r w:rsidR="003F10D6">
        <w:rPr>
          <w:rFonts w:hint="cs"/>
          <w:rtl/>
        </w:rPr>
        <w:t xml:space="preserve"> نسب هذا القول إلى الفلاسفة.</w:t>
      </w:r>
    </w:p>
    <w:p w14:paraId="2970BC13" w14:textId="22B42320" w:rsidR="00D1374D" w:rsidRDefault="007E0A8E" w:rsidP="002A46B0">
      <w:pPr>
        <w:rPr>
          <w:rFonts w:cs="Arial"/>
          <w:rtl/>
        </w:rPr>
      </w:pPr>
      <w:r>
        <w:rPr>
          <w:rFonts w:hint="cs"/>
          <w:rtl/>
        </w:rPr>
        <w:t xml:space="preserve">وهذا غريب؛ فقد جاء في أبحاث الكلام والفلسفة أن المكان هو </w:t>
      </w:r>
      <w:r w:rsidR="002A46B0">
        <w:rPr>
          <w:rFonts w:cs="Arial"/>
          <w:rtl/>
        </w:rPr>
        <w:t>السطح الباطن من الجسم الحاوي المماسّ للسطح</w:t>
      </w:r>
      <w:r w:rsidR="002A46B0">
        <w:rPr>
          <w:rFonts w:cs="Arial" w:hint="cs"/>
          <w:rtl/>
        </w:rPr>
        <w:t xml:space="preserve"> </w:t>
      </w:r>
      <w:r w:rsidR="002A46B0">
        <w:rPr>
          <w:rFonts w:cs="Arial"/>
          <w:rtl/>
        </w:rPr>
        <w:t>الظاهر من الجسم المحوي</w:t>
      </w:r>
      <w:r w:rsidR="002A46B0">
        <w:rPr>
          <w:rFonts w:cs="Arial" w:hint="cs"/>
          <w:rtl/>
        </w:rPr>
        <w:t>.</w:t>
      </w:r>
    </w:p>
    <w:p w14:paraId="664115F3" w14:textId="46D6E1F5" w:rsidR="002A46B0" w:rsidRDefault="000C1D92" w:rsidP="002A46B0">
      <w:pPr>
        <w:rPr>
          <w:rFonts w:cs="Arial"/>
          <w:rtl/>
        </w:rPr>
      </w:pPr>
      <w:r>
        <w:rPr>
          <w:rFonts w:cs="Arial" w:hint="cs"/>
          <w:rtl/>
        </w:rPr>
        <w:t>فقد خلط (رض) بين الحيز وبين المكان</w:t>
      </w:r>
      <w:r w:rsidR="005322B8">
        <w:rPr>
          <w:rFonts w:cs="Arial" w:hint="cs"/>
          <w:rtl/>
        </w:rPr>
        <w:t>؛</w:t>
      </w:r>
      <w:r>
        <w:rPr>
          <w:rFonts w:cs="Arial" w:hint="cs"/>
          <w:rtl/>
        </w:rPr>
        <w:t xml:space="preserve"> لأن الظرف الذي يحيط بالجسم هو الحيز.</w:t>
      </w:r>
    </w:p>
    <w:p w14:paraId="0B6378C0" w14:textId="33B18D68" w:rsidR="000C1D92" w:rsidRDefault="00980933" w:rsidP="002A46B0">
      <w:pPr>
        <w:rPr>
          <w:rtl/>
        </w:rPr>
      </w:pPr>
      <w:r>
        <w:rPr>
          <w:rFonts w:hint="cs"/>
          <w:rtl/>
        </w:rPr>
        <w:t xml:space="preserve">كيفما قال (رض) أن بعض الحكام ثابتة </w:t>
      </w:r>
      <w:r w:rsidR="00662297">
        <w:rPr>
          <w:rFonts w:hint="cs"/>
          <w:rtl/>
        </w:rPr>
        <w:t>ب</w:t>
      </w:r>
      <w:r>
        <w:rPr>
          <w:rFonts w:hint="cs"/>
          <w:rtl/>
        </w:rPr>
        <w:t xml:space="preserve">المعنى الأول وبعضها </w:t>
      </w:r>
      <w:r w:rsidR="00662297">
        <w:rPr>
          <w:rFonts w:hint="cs"/>
          <w:rtl/>
        </w:rPr>
        <w:t>ب</w:t>
      </w:r>
      <w:r>
        <w:rPr>
          <w:rFonts w:hint="cs"/>
          <w:rtl/>
        </w:rPr>
        <w:t>المعنى الثاني</w:t>
      </w:r>
      <w:r w:rsidR="00B8566B">
        <w:rPr>
          <w:rFonts w:hint="cs"/>
          <w:rtl/>
        </w:rPr>
        <w:t>.</w:t>
      </w:r>
    </w:p>
    <w:p w14:paraId="5F2C8C10" w14:textId="1D6F9E90" w:rsidR="000C2DA8" w:rsidRDefault="000C2DA8" w:rsidP="002A46B0">
      <w:pPr>
        <w:rPr>
          <w:rtl/>
        </w:rPr>
      </w:pPr>
      <w:r>
        <w:rPr>
          <w:rFonts w:hint="cs"/>
          <w:rtl/>
        </w:rPr>
        <w:t>وفرع على ذلك اشتراط الإباحة في مكان الصلاة</w:t>
      </w:r>
      <w:r w:rsidR="00886337">
        <w:rPr>
          <w:rFonts w:hint="cs"/>
          <w:rtl/>
        </w:rPr>
        <w:t xml:space="preserve"> وفصل بين حركة المصلي نحو الركوع والسجود وبين نفس الركوع والسجود، فالأول لا يشترط فيه الإباحة بخلاف الثاني </w:t>
      </w:r>
      <w:r w:rsidR="003F4594">
        <w:rPr>
          <w:rFonts w:hint="cs"/>
          <w:rtl/>
        </w:rPr>
        <w:t>وكذلك قال به حكيم الفقهاء.</w:t>
      </w:r>
    </w:p>
    <w:p w14:paraId="776002CA" w14:textId="2D6EF670" w:rsidR="003F4594" w:rsidRDefault="003F4594" w:rsidP="002A46B0">
      <w:pPr>
        <w:rPr>
          <w:rtl/>
        </w:rPr>
      </w:pPr>
      <w:r>
        <w:rPr>
          <w:rFonts w:hint="cs"/>
          <w:rtl/>
        </w:rPr>
        <w:t>فإن مقصود هذين العلمين أن هذه الحركات ليست من أجزاء الصلاة فهو صحيح، وأما أنها غير داخلة في الصلاة فهو غير واضح؛ لأن الركوع والسجود لا يتحققان إلا بهذه الحركات.</w:t>
      </w:r>
    </w:p>
    <w:p w14:paraId="7921B594" w14:textId="18ABB85A" w:rsidR="003F4594" w:rsidRDefault="003F4594" w:rsidP="002A46B0">
      <w:pPr>
        <w:rPr>
          <w:rtl/>
        </w:rPr>
      </w:pPr>
      <w:r>
        <w:rPr>
          <w:rFonts w:hint="cs"/>
          <w:rtl/>
        </w:rPr>
        <w:t>غداً إن شاء الله ن</w:t>
      </w:r>
      <w:r w:rsidR="00160BD7">
        <w:rPr>
          <w:rFonts w:hint="cs"/>
          <w:rtl/>
        </w:rPr>
        <w:t>ناقش كلامهما والحمد لله رب العالمين.</w:t>
      </w:r>
    </w:p>
    <w:p w14:paraId="43E6B738" w14:textId="77777777" w:rsidR="00160BD7" w:rsidRPr="00181458" w:rsidRDefault="00160BD7" w:rsidP="002A46B0"/>
    <w:sectPr w:rsidR="00160BD7" w:rsidRPr="00181458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A30"/>
    <w:rsid w:val="00094CBC"/>
    <w:rsid w:val="000A20DA"/>
    <w:rsid w:val="000C1D92"/>
    <w:rsid w:val="000C2DA8"/>
    <w:rsid w:val="00100E79"/>
    <w:rsid w:val="001341CC"/>
    <w:rsid w:val="00160BD7"/>
    <w:rsid w:val="00163AF8"/>
    <w:rsid w:val="00181458"/>
    <w:rsid w:val="002A46B0"/>
    <w:rsid w:val="002A6620"/>
    <w:rsid w:val="00306F07"/>
    <w:rsid w:val="00394E0E"/>
    <w:rsid w:val="003F10D6"/>
    <w:rsid w:val="003F4594"/>
    <w:rsid w:val="005322B8"/>
    <w:rsid w:val="005F72A1"/>
    <w:rsid w:val="00662297"/>
    <w:rsid w:val="0067244B"/>
    <w:rsid w:val="00686E3B"/>
    <w:rsid w:val="006F517A"/>
    <w:rsid w:val="00760F90"/>
    <w:rsid w:val="007E0A8E"/>
    <w:rsid w:val="0080192F"/>
    <w:rsid w:val="00811EC9"/>
    <w:rsid w:val="00886337"/>
    <w:rsid w:val="008A0367"/>
    <w:rsid w:val="00952D78"/>
    <w:rsid w:val="00980933"/>
    <w:rsid w:val="00A03327"/>
    <w:rsid w:val="00A43968"/>
    <w:rsid w:val="00AE603B"/>
    <w:rsid w:val="00AE60DE"/>
    <w:rsid w:val="00B8566B"/>
    <w:rsid w:val="00CC5E24"/>
    <w:rsid w:val="00D1374D"/>
    <w:rsid w:val="00D25A30"/>
    <w:rsid w:val="00DD06DC"/>
    <w:rsid w:val="00DF763E"/>
    <w:rsid w:val="00E80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8CA1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A30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25A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25A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25A3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25A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25A3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25A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25A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25A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25A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D25A3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25A3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25A3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25A30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25A30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25A3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25A3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25A3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25A3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25A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25A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25A3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25A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25A3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25A3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25A3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25A3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25A3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25A3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D25A30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A30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25A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25A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25A3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25A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25A3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25A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25A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25A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25A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D25A3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25A3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25A3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25A30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25A30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25A3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25A3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25A3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25A3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25A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25A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25A3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25A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25A3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25A3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25A3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25A3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25A3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25A3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D25A30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11</cp:revision>
  <dcterms:created xsi:type="dcterms:W3CDTF">2025-02-22T22:03:00Z</dcterms:created>
  <dcterms:modified xsi:type="dcterms:W3CDTF">2025-02-23T04:24:00Z</dcterms:modified>
</cp:coreProperties>
</file>