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6C2C0B" w14:textId="4F0C9335" w:rsidR="009258A1" w:rsidRPr="007B731A" w:rsidRDefault="009258A1" w:rsidP="009258A1">
      <w:pPr>
        <w:jc w:val="center"/>
      </w:pPr>
      <w:r w:rsidRPr="007B731A">
        <w:rPr>
          <w:rtl/>
        </w:rPr>
        <w:t xml:space="preserve">درس الفقه </w:t>
      </w:r>
      <w:r>
        <w:rPr>
          <w:rFonts w:hint="cs"/>
          <w:rtl/>
        </w:rPr>
        <w:t>17</w:t>
      </w:r>
      <w:r w:rsidRPr="007B731A">
        <w:rPr>
          <w:rtl/>
        </w:rPr>
        <w:t xml:space="preserve"> </w:t>
      </w:r>
      <w:r>
        <w:rPr>
          <w:rFonts w:hint="cs"/>
          <w:rtl/>
        </w:rPr>
        <w:t>شعبان</w:t>
      </w:r>
      <w:r w:rsidRPr="007B731A">
        <w:rPr>
          <w:rtl/>
        </w:rPr>
        <w:t xml:space="preserve"> 1446هـ‏</w:t>
      </w:r>
    </w:p>
    <w:p w14:paraId="64E26CEC" w14:textId="040BBF7D" w:rsidR="009258A1" w:rsidRPr="007B731A" w:rsidRDefault="009258A1" w:rsidP="009258A1">
      <w:pPr>
        <w:jc w:val="center"/>
        <w:rPr>
          <w:rtl/>
        </w:rPr>
      </w:pPr>
      <w:r>
        <w:rPr>
          <w:rFonts w:hint="cs"/>
          <w:rtl/>
        </w:rPr>
        <w:t>الأحد</w:t>
      </w:r>
      <w:r w:rsidRPr="007B731A">
        <w:rPr>
          <w:rtl/>
        </w:rPr>
        <w:t xml:space="preserve"> </w:t>
      </w:r>
      <w:r>
        <w:rPr>
          <w:rFonts w:hint="cs"/>
          <w:rtl/>
        </w:rPr>
        <w:t>16 شباط</w:t>
      </w:r>
      <w:r w:rsidRPr="007B731A">
        <w:rPr>
          <w:rtl/>
        </w:rPr>
        <w:t xml:space="preserve"> 2024‏ م</w:t>
      </w:r>
    </w:p>
    <w:p w14:paraId="5D7997A6" w14:textId="6081FF7A" w:rsidR="009258A1" w:rsidRPr="007B731A" w:rsidRDefault="003A6A41" w:rsidP="009258A1">
      <w:pPr>
        <w:jc w:val="center"/>
        <w:rPr>
          <w:rtl/>
        </w:rPr>
      </w:pPr>
      <w:r>
        <w:rPr>
          <w:rFonts w:hint="cs"/>
          <w:rtl/>
        </w:rPr>
        <w:t xml:space="preserve">الموضوع: </w:t>
      </w:r>
      <w:bookmarkStart w:id="0" w:name="_GoBack"/>
      <w:bookmarkEnd w:id="0"/>
      <w:r w:rsidR="009258A1" w:rsidRPr="007B731A">
        <w:rPr>
          <w:rtl/>
        </w:rPr>
        <w:t xml:space="preserve">لباس المصلي: </w:t>
      </w:r>
      <w:r w:rsidR="009258A1">
        <w:rPr>
          <w:rFonts w:hint="cs"/>
          <w:rtl/>
        </w:rPr>
        <w:t xml:space="preserve">الصلاة </w:t>
      </w:r>
      <w:r w:rsidR="00D93121">
        <w:rPr>
          <w:rFonts w:hint="cs"/>
          <w:rtl/>
        </w:rPr>
        <w:t>بالخلخال للنساء</w:t>
      </w:r>
      <w:r w:rsidR="009258A1">
        <w:rPr>
          <w:rFonts w:hint="cs"/>
          <w:rtl/>
        </w:rPr>
        <w:t xml:space="preserve"> </w:t>
      </w:r>
    </w:p>
    <w:p w14:paraId="4DB04D6D" w14:textId="77777777" w:rsidR="009258A1" w:rsidRDefault="009258A1" w:rsidP="009258A1">
      <w:pPr>
        <w:jc w:val="center"/>
        <w:rPr>
          <w:rtl/>
        </w:rPr>
      </w:pPr>
      <w:r w:rsidRPr="007B731A">
        <w:rPr>
          <w:rtl/>
        </w:rPr>
        <w:t>بسم الله الرحمن الرحيم</w:t>
      </w:r>
    </w:p>
    <w:p w14:paraId="777AD909" w14:textId="49E95F26" w:rsidR="009258A1" w:rsidRDefault="00D93121" w:rsidP="009258A1">
      <w:pPr>
        <w:rPr>
          <w:rtl/>
        </w:rPr>
      </w:pPr>
      <w:r>
        <w:rPr>
          <w:rFonts w:hint="cs"/>
          <w:rtl/>
        </w:rPr>
        <w:t xml:space="preserve">ذكر </w:t>
      </w:r>
      <w:proofErr w:type="spellStart"/>
      <w:r>
        <w:rPr>
          <w:rFonts w:hint="cs"/>
          <w:rtl/>
        </w:rPr>
        <w:t>اليزدي</w:t>
      </w:r>
      <w:proofErr w:type="spellEnd"/>
      <w:r>
        <w:rPr>
          <w:rFonts w:hint="cs"/>
          <w:rtl/>
        </w:rPr>
        <w:t xml:space="preserve"> </w:t>
      </w:r>
      <w:r w:rsidR="00F20BD5">
        <w:rPr>
          <w:rFonts w:hint="cs"/>
          <w:rtl/>
        </w:rPr>
        <w:t>حكم الصلاة بالخلخال للنساء إذا كان له صوت واختار الكراهة، وسيدنا الأعظم (رض) لم يتعرض له</w:t>
      </w:r>
      <w:r w:rsidR="00055AD0">
        <w:rPr>
          <w:rFonts w:hint="cs"/>
          <w:rtl/>
        </w:rPr>
        <w:t>.</w:t>
      </w:r>
    </w:p>
    <w:p w14:paraId="651F2A68" w14:textId="311B212A" w:rsidR="00055AD0" w:rsidRDefault="00055AD0" w:rsidP="009258A1">
      <w:pPr>
        <w:rPr>
          <w:rtl/>
        </w:rPr>
      </w:pPr>
      <w:r>
        <w:rPr>
          <w:rFonts w:hint="cs"/>
          <w:rtl/>
        </w:rPr>
        <w:t>وفي المقام رواية معتبرة بأسناد مختلفة</w:t>
      </w:r>
      <w:r w:rsidR="00455561">
        <w:rPr>
          <w:rFonts w:hint="cs"/>
          <w:rtl/>
        </w:rPr>
        <w:t xml:space="preserve">، وهي الرواية الأولى من الباب الثاني والستين من </w:t>
      </w:r>
      <w:r w:rsidR="004D18ED">
        <w:rPr>
          <w:rFonts w:hint="cs"/>
          <w:rtl/>
        </w:rPr>
        <w:t>أبواب لباس المصلي</w:t>
      </w:r>
      <w:r>
        <w:rPr>
          <w:rFonts w:hint="cs"/>
          <w:rtl/>
        </w:rPr>
        <w:t>:</w:t>
      </w:r>
    </w:p>
    <w:p w14:paraId="6557060A" w14:textId="59078668" w:rsidR="00055AD0" w:rsidRDefault="00EB026B" w:rsidP="004D18ED">
      <w:pPr>
        <w:rPr>
          <w:rFonts w:cs="Arial"/>
          <w:b/>
          <w:bCs/>
          <w:rtl/>
        </w:rPr>
      </w:pPr>
      <w:r>
        <w:rPr>
          <w:rFonts w:hint="cs"/>
          <w:rtl/>
        </w:rPr>
        <w:t xml:space="preserve">روى </w:t>
      </w:r>
      <w:r>
        <w:rPr>
          <w:rFonts w:cs="Arial"/>
          <w:rtl/>
        </w:rPr>
        <w:t>محمد بن يعقوب، عن محمد بن يحيى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عن </w:t>
      </w:r>
      <w:proofErr w:type="spellStart"/>
      <w:r>
        <w:rPr>
          <w:rFonts w:cs="Arial"/>
          <w:rtl/>
        </w:rPr>
        <w:t>العمركي</w:t>
      </w:r>
      <w:proofErr w:type="spellEnd"/>
      <w:r>
        <w:rPr>
          <w:rFonts w:cs="Arial"/>
          <w:rtl/>
        </w:rPr>
        <w:t xml:space="preserve">، </w:t>
      </w:r>
      <w:r w:rsidRPr="00C96C96">
        <w:rPr>
          <w:rFonts w:cs="Arial"/>
          <w:b/>
          <w:bCs/>
          <w:rtl/>
        </w:rPr>
        <w:t>عن</w:t>
      </w:r>
      <w:r w:rsidRPr="00C96C96">
        <w:rPr>
          <w:rFonts w:cs="Arial" w:hint="cs"/>
          <w:b/>
          <w:bCs/>
          <w:rtl/>
        </w:rPr>
        <w:t xml:space="preserve"> </w:t>
      </w:r>
      <w:r w:rsidRPr="00C96C96">
        <w:rPr>
          <w:rFonts w:cs="Arial"/>
          <w:b/>
          <w:bCs/>
          <w:rtl/>
        </w:rPr>
        <w:t>علي بن جعفر</w:t>
      </w:r>
      <w:r w:rsidRPr="00C96C96">
        <w:rPr>
          <w:rFonts w:cs="Arial" w:hint="cs"/>
          <w:b/>
          <w:bCs/>
          <w:rtl/>
        </w:rPr>
        <w:t>،</w:t>
      </w:r>
      <w:r w:rsidRPr="00C96C96">
        <w:rPr>
          <w:rFonts w:cs="Arial"/>
          <w:b/>
          <w:bCs/>
          <w:rtl/>
        </w:rPr>
        <w:t xml:space="preserve"> عن أخيه أبي الحسن (عليه السلام) - في حديث -، </w:t>
      </w:r>
      <w:r w:rsidR="004D18ED" w:rsidRPr="004D18ED">
        <w:rPr>
          <w:rFonts w:cs="Arial"/>
          <w:b/>
          <w:bCs/>
          <w:rtl/>
        </w:rPr>
        <w:t>قال: سألته عن رجل صلى وفي كمه طير، قال: إن خاف الذهاب عليه فلا بأس</w:t>
      </w:r>
      <w:r w:rsidR="004D18ED">
        <w:rPr>
          <w:rFonts w:cs="Arial" w:hint="cs"/>
          <w:b/>
          <w:bCs/>
          <w:rtl/>
        </w:rPr>
        <w:t xml:space="preserve">، </w:t>
      </w:r>
      <w:r w:rsidRPr="00C96C96">
        <w:rPr>
          <w:rFonts w:cs="Arial"/>
          <w:b/>
          <w:bCs/>
          <w:rtl/>
        </w:rPr>
        <w:t>قال: سألته</w:t>
      </w:r>
      <w:r w:rsidR="00C96C96" w:rsidRPr="00C96C96">
        <w:rPr>
          <w:rFonts w:cs="Arial" w:hint="cs"/>
          <w:b/>
          <w:bCs/>
          <w:rtl/>
        </w:rPr>
        <w:t xml:space="preserve"> </w:t>
      </w:r>
      <w:r w:rsidRPr="00C96C96">
        <w:rPr>
          <w:rFonts w:cs="Arial"/>
          <w:b/>
          <w:bCs/>
          <w:rtl/>
        </w:rPr>
        <w:t>عن الخلاخل، هل يصلح للنساء والصبيان لبسها؟ فقال: إذا كانت صماء فلا</w:t>
      </w:r>
      <w:r w:rsidR="00C96C96" w:rsidRPr="00C96C96">
        <w:rPr>
          <w:rFonts w:cs="Arial" w:hint="cs"/>
          <w:b/>
          <w:bCs/>
          <w:rtl/>
        </w:rPr>
        <w:t xml:space="preserve"> </w:t>
      </w:r>
      <w:r w:rsidRPr="00C96C96">
        <w:rPr>
          <w:rFonts w:cs="Arial"/>
          <w:b/>
          <w:bCs/>
          <w:rtl/>
        </w:rPr>
        <w:t>بأس، وإن كان لها صوت فلا</w:t>
      </w:r>
      <w:r w:rsidR="004D18ED" w:rsidRPr="004D18ED">
        <w:rPr>
          <w:rFonts w:ascii="mylotus" w:hAnsi="mylotus" w:cs="mylotus" w:hint="cs"/>
          <w:b/>
          <w:bCs/>
          <w:sz w:val="28"/>
          <w:szCs w:val="28"/>
          <w:vertAlign w:val="superscript"/>
          <w:lang w:bidi="ar-IQ"/>
        </w:rPr>
        <w:t>(</w:t>
      </w:r>
      <w:r w:rsidR="004D18ED" w:rsidRPr="004D18ED">
        <w:rPr>
          <w:rStyle w:val="ab"/>
          <w:rFonts w:ascii="mylotus" w:hAnsi="mylotus" w:cs="mylotus"/>
          <w:b/>
          <w:bCs/>
          <w:sz w:val="28"/>
          <w:szCs w:val="28"/>
          <w:lang w:bidi="ar-IQ"/>
        </w:rPr>
        <w:footnoteReference w:id="1"/>
      </w:r>
      <w:r w:rsidR="004D18ED" w:rsidRPr="004D18ED">
        <w:rPr>
          <w:rFonts w:ascii="mylotus" w:hAnsi="mylotus" w:cs="mylotus" w:hint="cs"/>
          <w:b/>
          <w:bCs/>
          <w:sz w:val="28"/>
          <w:szCs w:val="28"/>
          <w:vertAlign w:val="superscript"/>
          <w:lang w:bidi="ar-IQ"/>
        </w:rPr>
        <w:t>)</w:t>
      </w:r>
      <w:r w:rsidR="00C96C96" w:rsidRPr="00C96C96">
        <w:rPr>
          <w:rFonts w:cs="Arial" w:hint="cs"/>
          <w:b/>
          <w:bCs/>
          <w:rtl/>
        </w:rPr>
        <w:t>.</w:t>
      </w:r>
    </w:p>
    <w:p w14:paraId="567A91FD" w14:textId="1349F3A8" w:rsidR="00C96C96" w:rsidRDefault="00C96C96" w:rsidP="00C96C96">
      <w:pPr>
        <w:rPr>
          <w:rFonts w:cs="Arial"/>
          <w:rtl/>
        </w:rPr>
      </w:pPr>
      <w:r>
        <w:rPr>
          <w:rFonts w:cs="Arial" w:hint="cs"/>
          <w:rtl/>
        </w:rPr>
        <w:t xml:space="preserve"> وهذه الرواية ذكرها أيضاً شيخنا الصدوق (رض) بسند إلى علي بن جعفر عليه السلام </w:t>
      </w:r>
      <w:r w:rsidR="0033323D">
        <w:rPr>
          <w:rFonts w:cs="Arial" w:hint="cs"/>
          <w:rtl/>
        </w:rPr>
        <w:t>وطريقه إليه معتبر.</w:t>
      </w:r>
    </w:p>
    <w:p w14:paraId="23B8BF75" w14:textId="7C82C068" w:rsidR="0033323D" w:rsidRDefault="0033323D" w:rsidP="0050234B">
      <w:pPr>
        <w:rPr>
          <w:rFonts w:cs="Arial"/>
          <w:rtl/>
        </w:rPr>
      </w:pPr>
      <w:r>
        <w:rPr>
          <w:rFonts w:cs="Arial" w:hint="cs"/>
          <w:rtl/>
        </w:rPr>
        <w:t>ظاهره الرواية الحرمة مع أن صاحب الوسائل (رض) حكم بالكراهة، حيث عنون الباب</w:t>
      </w:r>
      <w:r w:rsidR="0050234B">
        <w:rPr>
          <w:rFonts w:cs="Arial" w:hint="cs"/>
          <w:rtl/>
        </w:rPr>
        <w:t>:</w:t>
      </w:r>
      <w:r>
        <w:rPr>
          <w:rFonts w:cs="Arial" w:hint="cs"/>
          <w:rtl/>
        </w:rPr>
        <w:t xml:space="preserve"> </w:t>
      </w:r>
      <w:r w:rsidR="0050234B">
        <w:rPr>
          <w:rFonts w:cs="Arial" w:hint="cs"/>
          <w:rtl/>
        </w:rPr>
        <w:t>(</w:t>
      </w:r>
      <w:r>
        <w:rPr>
          <w:rFonts w:cs="Arial" w:hint="cs"/>
          <w:rtl/>
        </w:rPr>
        <w:t xml:space="preserve">بباب </w:t>
      </w:r>
      <w:r w:rsidR="0050234B" w:rsidRPr="0050234B">
        <w:rPr>
          <w:rFonts w:cs="Arial"/>
          <w:rtl/>
        </w:rPr>
        <w:t>كراهة الخلخال الذي له صوت للنساء والصبيان،</w:t>
      </w:r>
      <w:r w:rsidR="0050234B">
        <w:rPr>
          <w:rFonts w:cs="Arial" w:hint="cs"/>
          <w:rtl/>
        </w:rPr>
        <w:t xml:space="preserve"> </w:t>
      </w:r>
      <w:r w:rsidR="0050234B" w:rsidRPr="0050234B">
        <w:rPr>
          <w:rFonts w:cs="Arial"/>
          <w:rtl/>
        </w:rPr>
        <w:t>وجواز لبسهم ما لا صوت له</w:t>
      </w:r>
      <w:r w:rsidR="0050234B">
        <w:rPr>
          <w:rFonts w:cs="Arial" w:hint="cs"/>
          <w:rtl/>
        </w:rPr>
        <w:t>).</w:t>
      </w:r>
    </w:p>
    <w:p w14:paraId="3DB98F42" w14:textId="619920F5" w:rsidR="0050234B" w:rsidRDefault="0050234B" w:rsidP="0050234B">
      <w:pPr>
        <w:rPr>
          <w:rFonts w:cs="Arial"/>
          <w:rtl/>
        </w:rPr>
      </w:pPr>
      <w:r>
        <w:rPr>
          <w:rFonts w:cs="Arial" w:hint="cs"/>
          <w:rtl/>
        </w:rPr>
        <w:t xml:space="preserve">ولعل الذي دعا صاحب الوسائل لحملها على الكراهة أنها مشتملة على </w:t>
      </w:r>
      <w:r w:rsidR="005479BE">
        <w:rPr>
          <w:rFonts w:cs="Arial" w:hint="cs"/>
          <w:rtl/>
        </w:rPr>
        <w:t>الصبيان وهم غير مكلفون، وإلا فلسنا ندري قرينته (رض) على الكراهة.</w:t>
      </w:r>
    </w:p>
    <w:p w14:paraId="66ECAEAE" w14:textId="2F11C39A" w:rsidR="005479BE" w:rsidRDefault="003E3E0C" w:rsidP="0050234B">
      <w:pPr>
        <w:rPr>
          <w:rtl/>
        </w:rPr>
      </w:pPr>
      <w:r>
        <w:rPr>
          <w:rFonts w:hint="cs"/>
          <w:rtl/>
        </w:rPr>
        <w:t xml:space="preserve">ذكرنا قبلاً مطلباً متعلقاً بالبحث وهو أن النهي إذا ورد في رواية </w:t>
      </w:r>
      <w:proofErr w:type="spellStart"/>
      <w:r>
        <w:rPr>
          <w:rFonts w:hint="cs"/>
          <w:rtl/>
        </w:rPr>
        <w:t>للصبيان</w:t>
      </w:r>
      <w:proofErr w:type="spellEnd"/>
      <w:r>
        <w:rPr>
          <w:rFonts w:hint="cs"/>
          <w:rtl/>
        </w:rPr>
        <w:t xml:space="preserve"> فهو متعلق بال</w:t>
      </w:r>
      <w:r w:rsidR="00954F09">
        <w:rPr>
          <w:rFonts w:hint="cs"/>
          <w:rtl/>
        </w:rPr>
        <w:t>مكلفين المسؤولين عن هذا الفعل عند الصبيان وبعبارة أخرى النهي في المقام يكون موجهاً للمكلفين الذي يلبسون الأطفال الخلخال.</w:t>
      </w:r>
    </w:p>
    <w:p w14:paraId="5FE0E305" w14:textId="6975BD52" w:rsidR="008459BF" w:rsidRDefault="008459BF" w:rsidP="0050234B">
      <w:pPr>
        <w:rPr>
          <w:rtl/>
        </w:rPr>
      </w:pPr>
      <w:r>
        <w:rPr>
          <w:rFonts w:hint="cs"/>
          <w:rtl/>
        </w:rPr>
        <w:t xml:space="preserve">وأما دعوى أن الصبي لا تتوجه له الحرمة فهو وارد أيضاً بالكراهة فكلاهما </w:t>
      </w:r>
      <w:r w:rsidR="00252979">
        <w:rPr>
          <w:rFonts w:hint="cs"/>
          <w:rtl/>
        </w:rPr>
        <w:t>حكم شرعي لا يتوجه إلا المكلف.</w:t>
      </w:r>
    </w:p>
    <w:p w14:paraId="5724B4AC" w14:textId="44DF22C6" w:rsidR="00954F09" w:rsidRDefault="008459BF" w:rsidP="0050234B">
      <w:pPr>
        <w:rPr>
          <w:rtl/>
        </w:rPr>
      </w:pPr>
      <w:r>
        <w:rPr>
          <w:rFonts w:hint="cs"/>
          <w:rtl/>
        </w:rPr>
        <w:t>وأما بالنسبة لسيدنا الأعظم فسكوته عن هذه الفتوى غير واضح.</w:t>
      </w:r>
    </w:p>
    <w:p w14:paraId="6FD13BDA" w14:textId="795832EB" w:rsidR="00252979" w:rsidRDefault="00252979" w:rsidP="0050234B">
      <w:pPr>
        <w:rPr>
          <w:rtl/>
        </w:rPr>
      </w:pPr>
      <w:r>
        <w:rPr>
          <w:rFonts w:hint="cs"/>
          <w:rtl/>
        </w:rPr>
        <w:t xml:space="preserve">ولا بد الالتفات </w:t>
      </w:r>
      <w:r w:rsidR="005105BC">
        <w:rPr>
          <w:rFonts w:hint="cs"/>
          <w:rtl/>
        </w:rPr>
        <w:t>في</w:t>
      </w:r>
      <w:r>
        <w:rPr>
          <w:rFonts w:hint="cs"/>
          <w:rtl/>
        </w:rPr>
        <w:t xml:space="preserve"> </w:t>
      </w:r>
      <w:r w:rsidR="005105BC">
        <w:rPr>
          <w:rFonts w:hint="cs"/>
          <w:rtl/>
        </w:rPr>
        <w:t>مدلول</w:t>
      </w:r>
      <w:r>
        <w:rPr>
          <w:rFonts w:hint="cs"/>
          <w:rtl/>
        </w:rPr>
        <w:t xml:space="preserve"> هذه الرواية </w:t>
      </w:r>
      <w:r w:rsidR="005105BC">
        <w:rPr>
          <w:rFonts w:hint="cs"/>
          <w:rtl/>
        </w:rPr>
        <w:t xml:space="preserve">إلى </w:t>
      </w:r>
      <w:r>
        <w:rPr>
          <w:rFonts w:hint="cs"/>
          <w:rtl/>
        </w:rPr>
        <w:t xml:space="preserve">أن الحرمة ليست متعلقة بصدور صوت من الخلخال بل </w:t>
      </w:r>
      <w:r w:rsidR="005105BC">
        <w:rPr>
          <w:rFonts w:hint="cs"/>
          <w:rtl/>
        </w:rPr>
        <w:t xml:space="preserve">بكون نفس الخلخال له صوت؛ لأن تعبير الإمام عليه السلام بالصماء معناه أن النهي عن الصلاة بخلخال يصدر صوتاً، إخراجاً للخلخال الذي لا يخرجه، وسواء </w:t>
      </w:r>
      <w:r w:rsidR="00811FA4">
        <w:rPr>
          <w:rFonts w:hint="cs"/>
          <w:rtl/>
        </w:rPr>
        <w:t>أخرجه فعلاً أم لا.</w:t>
      </w:r>
    </w:p>
    <w:p w14:paraId="55404340" w14:textId="30C9B813" w:rsidR="00811FA4" w:rsidRDefault="00811FA4" w:rsidP="00811FA4">
      <w:pPr>
        <w:rPr>
          <w:rtl/>
        </w:rPr>
      </w:pPr>
      <w:r>
        <w:rPr>
          <w:rFonts w:hint="cs"/>
          <w:rtl/>
        </w:rPr>
        <w:t xml:space="preserve">نعم، يمكن لمناسبة الحكم للموضوع أن يفهم منها ذلك، ولكن من نفس </w:t>
      </w:r>
      <w:r w:rsidR="00593769">
        <w:rPr>
          <w:rFonts w:hint="cs"/>
          <w:rtl/>
        </w:rPr>
        <w:t xml:space="preserve">هذه </w:t>
      </w:r>
      <w:r>
        <w:rPr>
          <w:rFonts w:hint="cs"/>
          <w:rtl/>
        </w:rPr>
        <w:t>الرواية لا يفهم منها إلا أن النهي متعلق بالخلخال الذي من شأنه إخراج الصوت.</w:t>
      </w:r>
    </w:p>
    <w:p w14:paraId="46841687" w14:textId="77777777" w:rsidR="00455561" w:rsidRDefault="00455561" w:rsidP="00811FA4">
      <w:pPr>
        <w:rPr>
          <w:rtl/>
        </w:rPr>
      </w:pPr>
    </w:p>
    <w:p w14:paraId="523DC6D2" w14:textId="77777777" w:rsidR="00811FA4" w:rsidRDefault="00811FA4" w:rsidP="00811FA4">
      <w:pPr>
        <w:rPr>
          <w:rtl/>
        </w:rPr>
      </w:pPr>
    </w:p>
    <w:p w14:paraId="778F2FC3" w14:textId="19FC724C" w:rsidR="008459BF" w:rsidRDefault="00DF62DD" w:rsidP="0050234B">
      <w:pPr>
        <w:rPr>
          <w:rtl/>
        </w:rPr>
      </w:pPr>
      <w:r>
        <w:rPr>
          <w:rFonts w:hint="cs"/>
          <w:rtl/>
        </w:rPr>
        <w:t>وأما بالنسبة لحكم الصلاة بالقباء المشدود بالأزرار، فكلام سيدنا الأعظم ناظر إلى عبارة العروة.</w:t>
      </w:r>
    </w:p>
    <w:p w14:paraId="7F072BB7" w14:textId="4240C90A" w:rsidR="00DF62DD" w:rsidRDefault="00DF62DD" w:rsidP="0050234B">
      <w:pPr>
        <w:rPr>
          <w:rtl/>
        </w:rPr>
      </w:pPr>
      <w:r>
        <w:rPr>
          <w:rFonts w:hint="cs"/>
          <w:rtl/>
        </w:rPr>
        <w:t>و</w:t>
      </w:r>
      <w:r w:rsidR="00782B9A">
        <w:rPr>
          <w:rFonts w:hint="cs"/>
          <w:rtl/>
        </w:rPr>
        <w:t xml:space="preserve">نقل </w:t>
      </w:r>
      <w:r>
        <w:rPr>
          <w:rFonts w:hint="cs"/>
          <w:rtl/>
        </w:rPr>
        <w:t>ا</w:t>
      </w:r>
      <w:r w:rsidR="00782B9A">
        <w:rPr>
          <w:rFonts w:hint="cs"/>
          <w:rtl/>
        </w:rPr>
        <w:t>لا</w:t>
      </w:r>
      <w:r>
        <w:rPr>
          <w:rFonts w:hint="cs"/>
          <w:rtl/>
        </w:rPr>
        <w:t>ستدل</w:t>
      </w:r>
      <w:r w:rsidR="00782B9A">
        <w:rPr>
          <w:rFonts w:hint="cs"/>
          <w:rtl/>
        </w:rPr>
        <w:t>ال</w:t>
      </w:r>
      <w:r>
        <w:rPr>
          <w:rFonts w:hint="cs"/>
          <w:rtl/>
        </w:rPr>
        <w:t xml:space="preserve"> عل</w:t>
      </w:r>
      <w:r w:rsidR="0059543E">
        <w:rPr>
          <w:rFonts w:hint="cs"/>
          <w:rtl/>
        </w:rPr>
        <w:t>يه بالإجماع على كراهة الصلاة مشدود الوسط.</w:t>
      </w:r>
    </w:p>
    <w:p w14:paraId="5C272E02" w14:textId="61F2A111" w:rsidR="0059543E" w:rsidRDefault="0059543E" w:rsidP="0050234B">
      <w:pPr>
        <w:rPr>
          <w:rtl/>
        </w:rPr>
      </w:pPr>
      <w:r>
        <w:rPr>
          <w:rFonts w:hint="cs"/>
          <w:rtl/>
        </w:rPr>
        <w:t>و</w:t>
      </w:r>
      <w:r w:rsidR="00782B9A">
        <w:rPr>
          <w:rFonts w:hint="cs"/>
          <w:rtl/>
        </w:rPr>
        <w:t>اعترض عليه بأن</w:t>
      </w:r>
      <w:r>
        <w:rPr>
          <w:rFonts w:hint="cs"/>
          <w:rtl/>
        </w:rPr>
        <w:t xml:space="preserve"> مورد الإجماع </w:t>
      </w:r>
      <w:r w:rsidR="005A6A97">
        <w:rPr>
          <w:rFonts w:hint="cs"/>
          <w:rtl/>
        </w:rPr>
        <w:t>مخصوص بالصلاة مشدود الوسط</w:t>
      </w:r>
      <w:r w:rsidR="00E14D88">
        <w:rPr>
          <w:rFonts w:hint="cs"/>
          <w:rtl/>
        </w:rPr>
        <w:t>، وليس القباء المشدود بالأزرار</w:t>
      </w:r>
      <w:r w:rsidR="005A6A97">
        <w:rPr>
          <w:rFonts w:hint="cs"/>
          <w:rtl/>
        </w:rPr>
        <w:t xml:space="preserve">، فيجب الالتزام بمورده </w:t>
      </w:r>
      <w:r w:rsidR="00E14D88">
        <w:rPr>
          <w:rFonts w:hint="cs"/>
          <w:rtl/>
        </w:rPr>
        <w:t>عند الاستدلال به.</w:t>
      </w:r>
    </w:p>
    <w:p w14:paraId="0A677F3F" w14:textId="1B0C4D89" w:rsidR="00E14D88" w:rsidRDefault="00E745E2" w:rsidP="0050234B">
      <w:pPr>
        <w:rPr>
          <w:rtl/>
        </w:rPr>
      </w:pPr>
      <w:r>
        <w:rPr>
          <w:rFonts w:hint="cs"/>
          <w:rtl/>
        </w:rPr>
        <w:t>كما أشار السيد الأعظم (رض) إلى استدلال بعض الأعلام بخبر نبوي: (</w:t>
      </w:r>
      <w:r w:rsidRPr="00E745E2">
        <w:rPr>
          <w:rFonts w:hint="cs"/>
          <w:b/>
          <w:bCs/>
          <w:rtl/>
        </w:rPr>
        <w:t>لا يصلي أحدكم وهو محزم</w:t>
      </w:r>
      <w:r>
        <w:rPr>
          <w:rFonts w:hint="cs"/>
          <w:rtl/>
        </w:rPr>
        <w:t>)</w:t>
      </w:r>
      <w:r w:rsidR="003A3CB5" w:rsidRPr="003A3CB5">
        <w:rPr>
          <w:rFonts w:ascii="mylotus" w:hAnsi="mylotus" w:cs="mylotus" w:hint="cs"/>
          <w:sz w:val="28"/>
          <w:szCs w:val="28"/>
          <w:vertAlign w:val="superscript"/>
          <w:lang w:bidi="ar-IQ"/>
        </w:rPr>
        <w:t>(</w:t>
      </w:r>
      <w:r w:rsidR="003A3CB5" w:rsidRPr="003A3CB5">
        <w:rPr>
          <w:rStyle w:val="ab"/>
          <w:rFonts w:ascii="mylotus" w:hAnsi="mylotus" w:cs="mylotus"/>
          <w:sz w:val="28"/>
          <w:szCs w:val="28"/>
          <w:lang w:bidi="ar-IQ"/>
        </w:rPr>
        <w:footnoteReference w:id="2"/>
      </w:r>
      <w:r w:rsidR="003A3CB5" w:rsidRPr="003A3CB5">
        <w:rPr>
          <w:rFonts w:ascii="mylotus" w:hAnsi="mylotus" w:cs="mylotus" w:hint="cs"/>
          <w:sz w:val="28"/>
          <w:szCs w:val="28"/>
          <w:vertAlign w:val="superscript"/>
          <w:lang w:bidi="ar-IQ"/>
        </w:rPr>
        <w:t>)</w:t>
      </w:r>
      <w:r>
        <w:rPr>
          <w:rFonts w:hint="cs"/>
          <w:rtl/>
        </w:rPr>
        <w:t xml:space="preserve">، </w:t>
      </w:r>
      <w:r w:rsidR="00BB6347">
        <w:rPr>
          <w:rFonts w:hint="cs"/>
          <w:rtl/>
        </w:rPr>
        <w:t xml:space="preserve">وحمله على الكراهة </w:t>
      </w:r>
      <w:r w:rsidR="00676843">
        <w:rPr>
          <w:rFonts w:hint="cs"/>
          <w:rtl/>
        </w:rPr>
        <w:t>بناءً على</w:t>
      </w:r>
      <w:r w:rsidR="00BB6347">
        <w:rPr>
          <w:rFonts w:hint="cs"/>
          <w:rtl/>
        </w:rPr>
        <w:t xml:space="preserve"> التسامح</w:t>
      </w:r>
      <w:r w:rsidR="00676843">
        <w:rPr>
          <w:rFonts w:hint="cs"/>
          <w:rtl/>
        </w:rPr>
        <w:t xml:space="preserve"> بأدلة السنن</w:t>
      </w:r>
      <w:r w:rsidR="00BB6347">
        <w:rPr>
          <w:rFonts w:hint="cs"/>
          <w:rtl/>
        </w:rPr>
        <w:t>، كما ذكر</w:t>
      </w:r>
      <w:r w:rsidR="00225866">
        <w:rPr>
          <w:rFonts w:hint="cs"/>
          <w:rtl/>
        </w:rPr>
        <w:t xml:space="preserve"> (رض)</w:t>
      </w:r>
      <w:r w:rsidR="00BB6347">
        <w:rPr>
          <w:rFonts w:hint="cs"/>
          <w:rtl/>
        </w:rPr>
        <w:t xml:space="preserve"> كون</w:t>
      </w:r>
      <w:r w:rsidR="00B97DD8">
        <w:rPr>
          <w:rFonts w:hint="cs"/>
          <w:rtl/>
        </w:rPr>
        <w:t xml:space="preserve">ه </w:t>
      </w:r>
      <w:r w:rsidR="00BB6347">
        <w:rPr>
          <w:rFonts w:hint="cs"/>
          <w:rtl/>
        </w:rPr>
        <w:t>معارضاً بخبرين عاميين</w:t>
      </w:r>
      <w:r w:rsidR="00B97DD8">
        <w:rPr>
          <w:rFonts w:hint="cs"/>
          <w:rtl/>
        </w:rPr>
        <w:t>.</w:t>
      </w:r>
    </w:p>
    <w:p w14:paraId="6199B171" w14:textId="53D7941F" w:rsidR="00782B9A" w:rsidRDefault="00782B9A" w:rsidP="0050234B">
      <w:pPr>
        <w:rPr>
          <w:rtl/>
        </w:rPr>
      </w:pPr>
      <w:r>
        <w:rPr>
          <w:rFonts w:hint="cs"/>
          <w:rtl/>
        </w:rPr>
        <w:lastRenderedPageBreak/>
        <w:t>وما نقله (رض) غير واضح</w:t>
      </w:r>
      <w:r w:rsidR="00225866">
        <w:rPr>
          <w:rFonts w:hint="cs"/>
          <w:rtl/>
        </w:rPr>
        <w:t xml:space="preserve">؛ إذا كان عليه أن يستدل بغير هذه الأدلة </w:t>
      </w:r>
      <w:r w:rsidR="00E44C00">
        <w:rPr>
          <w:rFonts w:hint="cs"/>
          <w:rtl/>
        </w:rPr>
        <w:t>أي</w:t>
      </w:r>
      <w:r w:rsidR="00225866">
        <w:rPr>
          <w:rFonts w:hint="cs"/>
          <w:rtl/>
        </w:rPr>
        <w:t xml:space="preserve"> </w:t>
      </w:r>
      <w:r w:rsidR="00E44C00">
        <w:rPr>
          <w:rFonts w:hint="cs"/>
          <w:rtl/>
        </w:rPr>
        <w:t>ال</w:t>
      </w:r>
      <w:r w:rsidR="00225866">
        <w:rPr>
          <w:rFonts w:hint="cs"/>
          <w:rtl/>
        </w:rPr>
        <w:t>إجماع و</w:t>
      </w:r>
      <w:r w:rsidR="00E44C00">
        <w:rPr>
          <w:rFonts w:hint="cs"/>
          <w:rtl/>
        </w:rPr>
        <w:t>ال</w:t>
      </w:r>
      <w:r w:rsidR="00225866">
        <w:rPr>
          <w:rFonts w:hint="cs"/>
          <w:rtl/>
        </w:rPr>
        <w:t xml:space="preserve">روايات </w:t>
      </w:r>
      <w:r w:rsidR="00E44C00">
        <w:rPr>
          <w:rFonts w:hint="cs"/>
          <w:rtl/>
        </w:rPr>
        <w:t>ال</w:t>
      </w:r>
      <w:r w:rsidR="00225866">
        <w:rPr>
          <w:rFonts w:hint="cs"/>
          <w:rtl/>
        </w:rPr>
        <w:t xml:space="preserve">عامية، </w:t>
      </w:r>
      <w:r w:rsidR="00F00ED8">
        <w:rPr>
          <w:rFonts w:hint="cs"/>
          <w:rtl/>
        </w:rPr>
        <w:t>كما أنه (رض) لم يذكر أدلة بعض المتقدمين القائلين بالحرمة.</w:t>
      </w:r>
    </w:p>
    <w:p w14:paraId="73D556B5" w14:textId="4F27076A" w:rsidR="00F00ED8" w:rsidRDefault="00676843" w:rsidP="0050234B">
      <w:pPr>
        <w:rPr>
          <w:rtl/>
        </w:rPr>
      </w:pPr>
      <w:r>
        <w:rPr>
          <w:rFonts w:hint="cs"/>
          <w:rtl/>
        </w:rPr>
        <w:t>فعليه وبحسب الظاهر لا دليل عندنا على القول بالكراهة فضلاً عن الحرمة، اللهم أن يقال بقاعدة التسامح بأدلة السنن</w:t>
      </w:r>
      <w:r w:rsidR="001C2AEA">
        <w:rPr>
          <w:rFonts w:hint="cs"/>
          <w:rtl/>
        </w:rPr>
        <w:t xml:space="preserve"> فتثبت حينئذٍ الكراهة.</w:t>
      </w:r>
    </w:p>
    <w:p w14:paraId="0FD2A413" w14:textId="67F35937" w:rsidR="00306F07" w:rsidRDefault="002809FA" w:rsidP="001C2AEA">
      <w:pPr>
        <w:rPr>
          <w:rtl/>
        </w:rPr>
      </w:pPr>
      <w:r>
        <w:rPr>
          <w:rFonts w:hint="cs"/>
          <w:rtl/>
        </w:rPr>
        <w:t>على أن في المقام روايات دالة على صحة الصلاة بالثوب محلول الأزرار، منها:</w:t>
      </w:r>
    </w:p>
    <w:p w14:paraId="42757568" w14:textId="1ADA128D" w:rsidR="002809FA" w:rsidRDefault="002809FA" w:rsidP="002809FA">
      <w:pPr>
        <w:rPr>
          <w:rFonts w:cs="Arial"/>
          <w:b/>
          <w:bCs/>
          <w:rtl/>
        </w:rPr>
      </w:pPr>
      <w:r>
        <w:rPr>
          <w:rFonts w:hint="cs"/>
          <w:rtl/>
        </w:rPr>
        <w:t xml:space="preserve">الرواية الأولى من الباب الثالث والعشرين من أبواب لباس المصلي: روى </w:t>
      </w:r>
      <w:r>
        <w:rPr>
          <w:rFonts w:cs="Arial"/>
          <w:rtl/>
        </w:rPr>
        <w:t>محمد بن يعقوب، عن محمد بن يحيى، عن أحمد بن محمد، عن</w:t>
      </w:r>
      <w:r>
        <w:rPr>
          <w:rFonts w:cs="Arial" w:hint="cs"/>
          <w:rtl/>
        </w:rPr>
        <w:t xml:space="preserve"> </w:t>
      </w:r>
      <w:r>
        <w:rPr>
          <w:rFonts w:cs="Arial"/>
          <w:rtl/>
        </w:rPr>
        <w:t xml:space="preserve">ابن محبوب، عن ابن رئاب، </w:t>
      </w:r>
      <w:r w:rsidRPr="002809FA">
        <w:rPr>
          <w:rFonts w:cs="Arial"/>
          <w:b/>
          <w:bCs/>
          <w:rtl/>
        </w:rPr>
        <w:t>عن زياد بن سوقة، عن أبي جعفر (عليه السلام)</w:t>
      </w:r>
      <w:r w:rsidRPr="002809FA">
        <w:rPr>
          <w:rFonts w:cs="Arial" w:hint="cs"/>
          <w:b/>
          <w:bCs/>
          <w:rtl/>
        </w:rPr>
        <w:t xml:space="preserve"> </w:t>
      </w:r>
      <w:r w:rsidRPr="002809FA">
        <w:rPr>
          <w:rFonts w:cs="Arial"/>
          <w:b/>
          <w:bCs/>
          <w:rtl/>
        </w:rPr>
        <w:t>قال: لا بأس أن يصلي أحدكم في الثوب الواحد وأزراره محللة إن دين محمد</w:t>
      </w:r>
      <w:r w:rsidRPr="002809FA">
        <w:rPr>
          <w:rFonts w:cs="Arial" w:hint="cs"/>
          <w:b/>
          <w:bCs/>
          <w:rtl/>
        </w:rPr>
        <w:t xml:space="preserve"> </w:t>
      </w:r>
      <w:r w:rsidRPr="002809FA">
        <w:rPr>
          <w:rFonts w:cs="Arial"/>
          <w:b/>
          <w:bCs/>
          <w:rtl/>
        </w:rPr>
        <w:t>حنيف.</w:t>
      </w:r>
    </w:p>
    <w:p w14:paraId="0093B1DF" w14:textId="041E5A56" w:rsidR="002809FA" w:rsidRDefault="002809FA" w:rsidP="002809FA">
      <w:pPr>
        <w:rPr>
          <w:rFonts w:cs="Arial"/>
          <w:rtl/>
        </w:rPr>
      </w:pPr>
      <w:r w:rsidRPr="002809FA">
        <w:rPr>
          <w:rFonts w:cs="Arial" w:hint="cs"/>
          <w:rtl/>
        </w:rPr>
        <w:t>وهي معتبرة السند في الكافي، كما رواها الشيخ الصدوق والشيخ.</w:t>
      </w:r>
    </w:p>
    <w:p w14:paraId="08CDDA3A" w14:textId="5CD1EBCE" w:rsidR="002809FA" w:rsidRDefault="002809FA" w:rsidP="002809FA">
      <w:pPr>
        <w:rPr>
          <w:rFonts w:cs="Arial"/>
          <w:rtl/>
        </w:rPr>
      </w:pPr>
      <w:r>
        <w:rPr>
          <w:rFonts w:cs="Arial" w:hint="cs"/>
          <w:rtl/>
        </w:rPr>
        <w:t xml:space="preserve">وهذه الرواية </w:t>
      </w:r>
      <w:r w:rsidR="00EE3E7B">
        <w:rPr>
          <w:rFonts w:cs="Arial" w:hint="cs"/>
          <w:rtl/>
        </w:rPr>
        <w:t>تغاير في مضمونها هذا الحكم أي المنع من الصلاة بقباء مشدود بالأزرار</w:t>
      </w:r>
      <w:r w:rsidR="001E00F9">
        <w:rPr>
          <w:rFonts w:cs="Arial" w:hint="cs"/>
          <w:rtl/>
        </w:rPr>
        <w:t>؛ لأنها إنما دلت على الجواز بالأزرار المحلولة، وأما حكم الكراهة فهو بتعبير مشدودة.</w:t>
      </w:r>
    </w:p>
    <w:p w14:paraId="2AF63380" w14:textId="0951D563" w:rsidR="001E00F9" w:rsidRDefault="001E00F9" w:rsidP="002809FA">
      <w:pPr>
        <w:rPr>
          <w:rFonts w:cs="Arial"/>
          <w:rtl/>
        </w:rPr>
      </w:pPr>
      <w:r>
        <w:rPr>
          <w:rFonts w:cs="Arial" w:hint="cs"/>
          <w:rtl/>
        </w:rPr>
        <w:t>ولعل قصدهم أن يكون الثوب ضاغطاً على البدن فيكون مكروهاً.</w:t>
      </w:r>
    </w:p>
    <w:p w14:paraId="3193DB9C" w14:textId="7F254AAE" w:rsidR="001E00F9" w:rsidRPr="002809FA" w:rsidRDefault="001E00F9" w:rsidP="002809FA">
      <w:r>
        <w:rPr>
          <w:rFonts w:cs="Arial" w:hint="cs"/>
          <w:rtl/>
        </w:rPr>
        <w:t>على كل حال، فالمسألة لم نجد لها دليلاً في النصوص الشريفة</w:t>
      </w:r>
      <w:r w:rsidR="004B43AE">
        <w:rPr>
          <w:rFonts w:cs="Arial" w:hint="cs"/>
          <w:rtl/>
        </w:rPr>
        <w:t xml:space="preserve"> أي خصوص المشدود بالأزرار، لكن يقع الكلام في الصلاة بالأزرار المفتوحة، وهو يأتي إن شاء الله والحمد لله رب العالمين.</w:t>
      </w:r>
    </w:p>
    <w:sectPr w:rsidR="001E00F9" w:rsidRPr="002809FA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1022D3" w14:textId="77777777" w:rsidR="001A39E9" w:rsidRDefault="001A39E9" w:rsidP="004D18ED">
      <w:pPr>
        <w:spacing w:after="0" w:line="240" w:lineRule="auto"/>
      </w:pPr>
      <w:r>
        <w:separator/>
      </w:r>
    </w:p>
  </w:endnote>
  <w:endnote w:type="continuationSeparator" w:id="0">
    <w:p w14:paraId="616CE78C" w14:textId="77777777" w:rsidR="001A39E9" w:rsidRDefault="001A39E9" w:rsidP="004D18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lotus">
    <w:altName w:val="Times New Roman"/>
    <w:charset w:val="00"/>
    <w:family w:val="auto"/>
    <w:pitch w:val="variable"/>
    <w:sig w:usb0="00000000" w:usb1="80000000" w:usb2="00000008" w:usb3="00000000" w:csb0="0000004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AD3698" w14:textId="77777777" w:rsidR="001A39E9" w:rsidRDefault="001A39E9" w:rsidP="004D18ED">
      <w:pPr>
        <w:spacing w:after="0" w:line="240" w:lineRule="auto"/>
      </w:pPr>
      <w:r>
        <w:separator/>
      </w:r>
    </w:p>
  </w:footnote>
  <w:footnote w:type="continuationSeparator" w:id="0">
    <w:p w14:paraId="3186E8CC" w14:textId="77777777" w:rsidR="001A39E9" w:rsidRDefault="001A39E9" w:rsidP="004D18ED">
      <w:pPr>
        <w:spacing w:after="0" w:line="240" w:lineRule="auto"/>
      </w:pPr>
      <w:r>
        <w:continuationSeparator/>
      </w:r>
    </w:p>
  </w:footnote>
  <w:footnote w:id="1">
    <w:p w14:paraId="10BC184E" w14:textId="0FCE2438" w:rsidR="004D18ED" w:rsidRPr="00AE4E31" w:rsidRDefault="004D18ED" w:rsidP="00321BBB">
      <w:pPr>
        <w:pStyle w:val="aa"/>
        <w:rPr>
          <w:lang w:bidi="ar-IQ"/>
        </w:rPr>
      </w:pPr>
      <w:r w:rsidRPr="00AE4E31">
        <w:rPr>
          <w:rFonts w:hint="cs"/>
          <w:rtl/>
        </w:rPr>
        <w:t>(</w:t>
      </w:r>
      <w:r w:rsidRPr="00AE4E31">
        <w:rPr>
          <w:rStyle w:val="ab"/>
        </w:rPr>
        <w:footnoteRef/>
      </w:r>
      <w:r w:rsidRPr="00AE4E31">
        <w:rPr>
          <w:rFonts w:hint="cs"/>
          <w:rtl/>
        </w:rPr>
        <w:t>)</w:t>
      </w:r>
      <w:r w:rsidRPr="00AE4E31">
        <w:rPr>
          <w:rtl/>
        </w:rPr>
        <w:t xml:space="preserve"> </w:t>
      </w:r>
      <w:r>
        <w:rPr>
          <w:rFonts w:hint="cs"/>
          <w:rtl/>
        </w:rPr>
        <w:t>أقول(المقرر): نقلتها من متن الكافي</w:t>
      </w:r>
      <w:r w:rsidR="00092FBA">
        <w:rPr>
          <w:rFonts w:hint="cs"/>
          <w:rtl/>
        </w:rPr>
        <w:t xml:space="preserve">: 3/404، </w:t>
      </w:r>
      <w:r>
        <w:rPr>
          <w:rFonts w:hint="cs"/>
          <w:rtl/>
        </w:rPr>
        <w:t>لبيان أن</w:t>
      </w:r>
      <w:r w:rsidR="00092FBA">
        <w:rPr>
          <w:rFonts w:hint="cs"/>
          <w:rtl/>
        </w:rPr>
        <w:t xml:space="preserve"> الحكم متعلق بالصلاة</w:t>
      </w:r>
      <w:r w:rsidR="008B3AF3">
        <w:rPr>
          <w:rFonts w:hint="cs"/>
          <w:rtl/>
        </w:rPr>
        <w:t>،</w:t>
      </w:r>
      <w:r w:rsidR="00092FBA">
        <w:rPr>
          <w:rFonts w:hint="cs"/>
          <w:rtl/>
        </w:rPr>
        <w:t xml:space="preserve"> كما في</w:t>
      </w:r>
      <w:r>
        <w:rPr>
          <w:rFonts w:hint="cs"/>
          <w:rtl/>
        </w:rPr>
        <w:t xml:space="preserve"> صدر الرواية</w:t>
      </w:r>
      <w:r w:rsidR="00092FBA">
        <w:rPr>
          <w:rFonts w:hint="cs"/>
          <w:rtl/>
        </w:rPr>
        <w:t xml:space="preserve"> الذي لم ي</w:t>
      </w:r>
      <w:r w:rsidR="00FA241C">
        <w:rPr>
          <w:rFonts w:hint="cs"/>
          <w:rtl/>
        </w:rPr>
        <w:t>ُ</w:t>
      </w:r>
      <w:r w:rsidR="00092FBA">
        <w:rPr>
          <w:rFonts w:hint="cs"/>
          <w:rtl/>
        </w:rPr>
        <w:t>ذكر في الوسائل.</w:t>
      </w:r>
    </w:p>
  </w:footnote>
  <w:footnote w:id="2">
    <w:p w14:paraId="00EEB7B8" w14:textId="67CA2D1A" w:rsidR="003A3CB5" w:rsidRDefault="003A3CB5" w:rsidP="003A3CB5">
      <w:pPr>
        <w:pStyle w:val="aa"/>
        <w:rPr>
          <w:rtl/>
        </w:rPr>
      </w:pPr>
      <w:r w:rsidRPr="00AE4E31">
        <w:rPr>
          <w:rFonts w:hint="cs"/>
          <w:rtl/>
        </w:rPr>
        <w:t>(</w:t>
      </w:r>
      <w:r w:rsidRPr="00AE4E31">
        <w:rPr>
          <w:rStyle w:val="ab"/>
        </w:rPr>
        <w:footnoteRef/>
      </w:r>
      <w:r w:rsidRPr="00AE4E31">
        <w:rPr>
          <w:rFonts w:hint="cs"/>
          <w:rtl/>
        </w:rPr>
        <w:t>)</w:t>
      </w:r>
      <w:r w:rsidRPr="00AE4E31">
        <w:rPr>
          <w:rtl/>
        </w:rPr>
        <w:t xml:space="preserve"> </w:t>
      </w:r>
      <w:r>
        <w:rPr>
          <w:rFonts w:hint="cs"/>
          <w:rtl/>
        </w:rPr>
        <w:t>الموجود في الذكرى ما هذا صورته: (</w:t>
      </w:r>
      <w:r>
        <w:rPr>
          <w:rFonts w:cs="Arial"/>
          <w:rtl/>
        </w:rPr>
        <w:t xml:space="preserve">قلت: قد روى العامة </w:t>
      </w:r>
      <w:r>
        <w:rPr>
          <w:rFonts w:cs="Arial" w:hint="cs"/>
          <w:rtl/>
        </w:rPr>
        <w:t>أ</w:t>
      </w:r>
      <w:r>
        <w:rPr>
          <w:rFonts w:cs="Arial"/>
          <w:rtl/>
        </w:rPr>
        <w:t>ن النبي صلى الله عليه وآله قال: لا يصل</w:t>
      </w:r>
      <w:r>
        <w:rPr>
          <w:rFonts w:cs="Arial" w:hint="cs"/>
          <w:rtl/>
        </w:rPr>
        <w:t>ّ</w:t>
      </w:r>
    </w:p>
    <w:p w14:paraId="17BEBE12" w14:textId="5C94E385" w:rsidR="003A3CB5" w:rsidRPr="00AE4E31" w:rsidRDefault="003A3CB5" w:rsidP="003A3CB5">
      <w:pPr>
        <w:pStyle w:val="aa"/>
        <w:rPr>
          <w:lang w:bidi="ar-IQ"/>
        </w:rPr>
      </w:pPr>
      <w:r>
        <w:rPr>
          <w:rFonts w:cs="Arial"/>
          <w:rtl/>
        </w:rPr>
        <w:t xml:space="preserve">أحدكم </w:t>
      </w:r>
      <w:r>
        <w:rPr>
          <w:rFonts w:cs="Arial" w:hint="cs"/>
          <w:rtl/>
        </w:rPr>
        <w:t>إ</w:t>
      </w:r>
      <w:r>
        <w:rPr>
          <w:rFonts w:cs="Arial"/>
          <w:rtl/>
        </w:rPr>
        <w:t>لا وهو محزم</w:t>
      </w:r>
      <w:r>
        <w:rPr>
          <w:rFonts w:cs="Arial" w:hint="cs"/>
          <w:rtl/>
        </w:rPr>
        <w:t xml:space="preserve">)، وهو الموافق لروايتهم، ينظر: ذكرى الشيعة: </w:t>
      </w:r>
      <w:r w:rsidR="00B97DD8">
        <w:rPr>
          <w:rFonts w:cs="Arial" w:hint="cs"/>
          <w:rtl/>
        </w:rPr>
        <w:t>3/65، والسنن الكبرى(البيهقي): 2/240.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8A1"/>
    <w:rsid w:val="00055AD0"/>
    <w:rsid w:val="00092FBA"/>
    <w:rsid w:val="001A39E9"/>
    <w:rsid w:val="001C2AEA"/>
    <w:rsid w:val="001E00F9"/>
    <w:rsid w:val="00225866"/>
    <w:rsid w:val="00252979"/>
    <w:rsid w:val="002809FA"/>
    <w:rsid w:val="00306F07"/>
    <w:rsid w:val="0033323D"/>
    <w:rsid w:val="003A3CB5"/>
    <w:rsid w:val="003A6A41"/>
    <w:rsid w:val="003E3E0C"/>
    <w:rsid w:val="00455561"/>
    <w:rsid w:val="004B43AE"/>
    <w:rsid w:val="004D18ED"/>
    <w:rsid w:val="0050234B"/>
    <w:rsid w:val="005105BC"/>
    <w:rsid w:val="005479BE"/>
    <w:rsid w:val="00593769"/>
    <w:rsid w:val="0059543E"/>
    <w:rsid w:val="005A6A97"/>
    <w:rsid w:val="005F72A1"/>
    <w:rsid w:val="00676843"/>
    <w:rsid w:val="00782B9A"/>
    <w:rsid w:val="00811EC9"/>
    <w:rsid w:val="00811FA4"/>
    <w:rsid w:val="008459BF"/>
    <w:rsid w:val="008B3AF3"/>
    <w:rsid w:val="009258A1"/>
    <w:rsid w:val="00954F09"/>
    <w:rsid w:val="009C0828"/>
    <w:rsid w:val="00AE603B"/>
    <w:rsid w:val="00B97DD8"/>
    <w:rsid w:val="00BB6347"/>
    <w:rsid w:val="00C96C96"/>
    <w:rsid w:val="00D93121"/>
    <w:rsid w:val="00D96E2A"/>
    <w:rsid w:val="00DF62DD"/>
    <w:rsid w:val="00E14D88"/>
    <w:rsid w:val="00E44C00"/>
    <w:rsid w:val="00E745E2"/>
    <w:rsid w:val="00EB026B"/>
    <w:rsid w:val="00EE3E7B"/>
    <w:rsid w:val="00F00ED8"/>
    <w:rsid w:val="00F20BD5"/>
    <w:rsid w:val="00F22E44"/>
    <w:rsid w:val="00FA2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9B096F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8A1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9258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258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258A1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258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258A1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258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258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258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258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9258A1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9258A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9258A1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9258A1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9258A1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9258A1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9258A1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9258A1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9258A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9258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9258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258A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9258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258A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9258A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258A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9258A1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258A1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9258A1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9258A1"/>
    <w:rPr>
      <w:b/>
      <w:bCs/>
      <w:smallCaps/>
      <w:color w:val="365F91" w:themeColor="accent1" w:themeShade="BF"/>
      <w:spacing w:val="5"/>
    </w:rPr>
  </w:style>
  <w:style w:type="paragraph" w:styleId="aa">
    <w:name w:val="footnote text"/>
    <w:basedOn w:val="a"/>
    <w:link w:val="Char3"/>
    <w:uiPriority w:val="99"/>
    <w:semiHidden/>
    <w:unhideWhenUsed/>
    <w:rsid w:val="004D18ED"/>
    <w:pPr>
      <w:spacing w:after="0" w:line="240" w:lineRule="auto"/>
    </w:pPr>
    <w:rPr>
      <w:sz w:val="20"/>
      <w:szCs w:val="20"/>
    </w:rPr>
  </w:style>
  <w:style w:type="character" w:customStyle="1" w:styleId="Char3">
    <w:name w:val="نص حاشية سفلية Char"/>
    <w:basedOn w:val="a0"/>
    <w:link w:val="aa"/>
    <w:uiPriority w:val="99"/>
    <w:semiHidden/>
    <w:rsid w:val="004D18ED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4D18E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8A1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9258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258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258A1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258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258A1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258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258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258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258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9258A1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9258A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9258A1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9258A1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9258A1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9258A1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9258A1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9258A1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9258A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9258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9258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258A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9258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258A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9258A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258A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9258A1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258A1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9258A1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9258A1"/>
    <w:rPr>
      <w:b/>
      <w:bCs/>
      <w:smallCaps/>
      <w:color w:val="365F91" w:themeColor="accent1" w:themeShade="BF"/>
      <w:spacing w:val="5"/>
    </w:rPr>
  </w:style>
  <w:style w:type="paragraph" w:styleId="aa">
    <w:name w:val="footnote text"/>
    <w:basedOn w:val="a"/>
    <w:link w:val="Char3"/>
    <w:uiPriority w:val="99"/>
    <w:semiHidden/>
    <w:unhideWhenUsed/>
    <w:rsid w:val="004D18ED"/>
    <w:pPr>
      <w:spacing w:after="0" w:line="240" w:lineRule="auto"/>
    </w:pPr>
    <w:rPr>
      <w:sz w:val="20"/>
      <w:szCs w:val="20"/>
    </w:rPr>
  </w:style>
  <w:style w:type="character" w:customStyle="1" w:styleId="Char3">
    <w:name w:val="نص حاشية سفلية Char"/>
    <w:basedOn w:val="a0"/>
    <w:link w:val="aa"/>
    <w:uiPriority w:val="99"/>
    <w:semiHidden/>
    <w:rsid w:val="004D18ED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4D18E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486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8</cp:revision>
  <dcterms:created xsi:type="dcterms:W3CDTF">2025-02-16T09:03:00Z</dcterms:created>
  <dcterms:modified xsi:type="dcterms:W3CDTF">2025-02-17T04:52:00Z</dcterms:modified>
</cp:coreProperties>
</file>