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D2BEEE" w14:textId="616A0BF8" w:rsidR="009F4AEC" w:rsidRPr="007B731A" w:rsidRDefault="009F4AEC" w:rsidP="009F4AEC">
      <w:pPr>
        <w:jc w:val="center"/>
      </w:pPr>
      <w:r w:rsidRPr="007B731A">
        <w:rPr>
          <w:rtl/>
        </w:rPr>
        <w:t xml:space="preserve">درس الفقه </w:t>
      </w:r>
      <w:r>
        <w:rPr>
          <w:rFonts w:hint="cs"/>
          <w:rtl/>
        </w:rPr>
        <w:t>16</w:t>
      </w:r>
      <w:r w:rsidRPr="007B731A">
        <w:rPr>
          <w:rtl/>
        </w:rPr>
        <w:t xml:space="preserve"> </w:t>
      </w:r>
      <w:r>
        <w:rPr>
          <w:rFonts w:hint="cs"/>
          <w:rtl/>
        </w:rPr>
        <w:t>شعبان</w:t>
      </w:r>
      <w:r w:rsidRPr="007B731A">
        <w:rPr>
          <w:rtl/>
        </w:rPr>
        <w:t xml:space="preserve"> 1446هـ‏</w:t>
      </w:r>
    </w:p>
    <w:p w14:paraId="7EF36B0D" w14:textId="64E4018C" w:rsidR="009F4AEC" w:rsidRPr="007B731A" w:rsidRDefault="009F4AEC" w:rsidP="009F4AEC">
      <w:pPr>
        <w:jc w:val="center"/>
        <w:rPr>
          <w:rtl/>
        </w:rPr>
      </w:pPr>
      <w:r>
        <w:rPr>
          <w:rFonts w:hint="cs"/>
          <w:rtl/>
        </w:rPr>
        <w:t>السبت</w:t>
      </w:r>
      <w:r w:rsidRPr="007B731A">
        <w:rPr>
          <w:rtl/>
        </w:rPr>
        <w:t xml:space="preserve"> </w:t>
      </w:r>
      <w:r>
        <w:rPr>
          <w:rFonts w:hint="cs"/>
          <w:rtl/>
        </w:rPr>
        <w:t>15 شباط</w:t>
      </w:r>
      <w:r w:rsidRPr="007B731A">
        <w:rPr>
          <w:rtl/>
        </w:rPr>
        <w:t xml:space="preserve"> 2024‏ م</w:t>
      </w:r>
    </w:p>
    <w:p w14:paraId="5B5ED392" w14:textId="2232D998" w:rsidR="009F4AEC" w:rsidRPr="007B731A" w:rsidRDefault="00920995" w:rsidP="009F4AEC">
      <w:pPr>
        <w:jc w:val="center"/>
        <w:rPr>
          <w:rtl/>
        </w:rPr>
      </w:pPr>
      <w:r>
        <w:rPr>
          <w:rFonts w:hint="cs"/>
          <w:rtl/>
        </w:rPr>
        <w:t xml:space="preserve">الموضوع: </w:t>
      </w:r>
      <w:bookmarkStart w:id="0" w:name="_GoBack"/>
      <w:bookmarkEnd w:id="0"/>
      <w:r w:rsidR="009F4AEC" w:rsidRPr="007B731A">
        <w:rPr>
          <w:rtl/>
        </w:rPr>
        <w:t xml:space="preserve">لباس المصلي: </w:t>
      </w:r>
      <w:r w:rsidR="009F4AEC">
        <w:rPr>
          <w:rFonts w:hint="cs"/>
          <w:rtl/>
        </w:rPr>
        <w:t xml:space="preserve">الصلاة في الحديد </w:t>
      </w:r>
    </w:p>
    <w:p w14:paraId="6AF5DEB1" w14:textId="77777777" w:rsidR="009F4AEC" w:rsidRDefault="009F4AEC" w:rsidP="009F4AEC">
      <w:pPr>
        <w:jc w:val="center"/>
        <w:rPr>
          <w:rtl/>
        </w:rPr>
      </w:pPr>
      <w:r w:rsidRPr="007B731A">
        <w:rPr>
          <w:rtl/>
        </w:rPr>
        <w:t>بسم الله الرحمن الرحيم</w:t>
      </w:r>
    </w:p>
    <w:p w14:paraId="167A8AA1" w14:textId="77777777" w:rsidR="009F4AEC" w:rsidRDefault="009F4AEC" w:rsidP="009F4AEC">
      <w:pPr>
        <w:rPr>
          <w:rtl/>
        </w:rPr>
      </w:pPr>
      <w:r>
        <w:rPr>
          <w:rFonts w:cs="Arial"/>
          <w:rtl/>
        </w:rPr>
        <w:t>كان الكلام فيما أفاده سيدنا الأستاذ من أن الأحاديث في المقام أي الصلاة في الحديد كلها ضعيفة.</w:t>
      </w:r>
    </w:p>
    <w:p w14:paraId="7624FD4E" w14:textId="77777777" w:rsidR="009F4AEC" w:rsidRDefault="009F4AEC" w:rsidP="009F4AEC">
      <w:pPr>
        <w:rPr>
          <w:rtl/>
        </w:rPr>
      </w:pPr>
      <w:r>
        <w:rPr>
          <w:rFonts w:cs="Arial"/>
          <w:rtl/>
        </w:rPr>
        <w:t>من ضمن روايات المقام:</w:t>
      </w:r>
    </w:p>
    <w:p w14:paraId="041689BB" w14:textId="77777777" w:rsidR="009F4AEC" w:rsidRDefault="009F4AEC" w:rsidP="009F4AEC">
      <w:pPr>
        <w:rPr>
          <w:rtl/>
        </w:rPr>
      </w:pPr>
      <w:r>
        <w:rPr>
          <w:rFonts w:cs="Arial"/>
          <w:rtl/>
        </w:rPr>
        <w:t>الرواية السابعة من الباب الثاني والثلاثين من أبواب لباس المصلي:</w:t>
      </w:r>
    </w:p>
    <w:p w14:paraId="6FAE9017" w14:textId="77777777" w:rsidR="009F4AEC" w:rsidRDefault="009F4AEC" w:rsidP="009F4AEC">
      <w:pPr>
        <w:rPr>
          <w:rtl/>
        </w:rPr>
      </w:pPr>
      <w:r>
        <w:rPr>
          <w:rFonts w:cs="Arial"/>
          <w:rtl/>
        </w:rPr>
        <w:t xml:space="preserve">محمد بن علي بن الحسين بإسناده عن شعيب بن واقد، </w:t>
      </w:r>
      <w:r w:rsidRPr="00A94540">
        <w:rPr>
          <w:rFonts w:cs="Arial"/>
          <w:b/>
          <w:bCs/>
          <w:rtl/>
        </w:rPr>
        <w:t xml:space="preserve">عن الحسين بن زيد عن جعفر بن محمد، عن آبائه (عليهم السلام) -في حديث المناهي - قال: نهى رسول الله (صلى الله عليه وآله) عن </w:t>
      </w:r>
      <w:proofErr w:type="spellStart"/>
      <w:r w:rsidRPr="00A94540">
        <w:rPr>
          <w:rFonts w:cs="Arial"/>
          <w:b/>
          <w:bCs/>
          <w:rtl/>
        </w:rPr>
        <w:t>التختم</w:t>
      </w:r>
      <w:proofErr w:type="spellEnd"/>
      <w:r w:rsidRPr="00A94540">
        <w:rPr>
          <w:rFonts w:cs="Arial"/>
          <w:b/>
          <w:bCs/>
          <w:rtl/>
        </w:rPr>
        <w:t xml:space="preserve"> بخاتم صفر أو حديد.</w:t>
      </w:r>
    </w:p>
    <w:p w14:paraId="16DAB54C" w14:textId="702C9401" w:rsidR="009F4AEC" w:rsidRDefault="009F4AEC" w:rsidP="009F4AEC">
      <w:pPr>
        <w:rPr>
          <w:rtl/>
        </w:rPr>
      </w:pPr>
      <w:r>
        <w:rPr>
          <w:rFonts w:cs="Arial"/>
          <w:rtl/>
        </w:rPr>
        <w:t xml:space="preserve">والكلام في سندها من جهة شعيب بن واقد، والحسين بن زيد بحسبه </w:t>
      </w:r>
      <w:r>
        <w:rPr>
          <w:rFonts w:cs="Arial" w:hint="cs"/>
          <w:rtl/>
        </w:rPr>
        <w:t>(رض)</w:t>
      </w:r>
      <w:r>
        <w:rPr>
          <w:rFonts w:cs="Arial"/>
          <w:rtl/>
        </w:rPr>
        <w:t xml:space="preserve"> ولكن بناء على قرائن عديدة فإن هذين الراويين لا يبعد توثيقهما، وعليه فالرواية لا موجب لطرحها والعلم عند الله وعند الراسخين في العلم.</w:t>
      </w:r>
    </w:p>
    <w:p w14:paraId="5F69F0A9" w14:textId="5939C285" w:rsidR="009F4AEC" w:rsidRDefault="009F4AEC" w:rsidP="009F4AEC">
      <w:pPr>
        <w:rPr>
          <w:rtl/>
        </w:rPr>
      </w:pPr>
      <w:r>
        <w:rPr>
          <w:rFonts w:cs="Arial"/>
          <w:rtl/>
        </w:rPr>
        <w:t xml:space="preserve">وعليه فهي دالة على نهي النبي </w:t>
      </w:r>
      <w:r>
        <w:rPr>
          <w:rFonts w:cs="Arial" w:hint="cs"/>
          <w:rtl/>
        </w:rPr>
        <w:t>صلّى الله عليه وآله</w:t>
      </w:r>
      <w:r>
        <w:rPr>
          <w:rFonts w:cs="Arial"/>
          <w:rtl/>
        </w:rPr>
        <w:t xml:space="preserve"> عن </w:t>
      </w:r>
      <w:proofErr w:type="spellStart"/>
      <w:r>
        <w:rPr>
          <w:rFonts w:cs="Arial"/>
          <w:rtl/>
        </w:rPr>
        <w:t>التختم</w:t>
      </w:r>
      <w:proofErr w:type="spellEnd"/>
      <w:r>
        <w:rPr>
          <w:rFonts w:cs="Arial"/>
          <w:rtl/>
        </w:rPr>
        <w:t xml:space="preserve"> بالحديد.</w:t>
      </w:r>
    </w:p>
    <w:p w14:paraId="7E426B3E" w14:textId="5F461A68" w:rsidR="009F4AEC" w:rsidRDefault="009F4AEC" w:rsidP="009F4AEC">
      <w:pPr>
        <w:rPr>
          <w:rtl/>
        </w:rPr>
      </w:pPr>
      <w:r>
        <w:rPr>
          <w:rFonts w:cs="Arial"/>
          <w:rtl/>
        </w:rPr>
        <w:t xml:space="preserve">كما دلت هذه الرواية على النهي عن </w:t>
      </w:r>
      <w:proofErr w:type="spellStart"/>
      <w:r>
        <w:rPr>
          <w:rFonts w:cs="Arial"/>
          <w:rtl/>
        </w:rPr>
        <w:t>التختم</w:t>
      </w:r>
      <w:proofErr w:type="spellEnd"/>
      <w:r>
        <w:rPr>
          <w:rFonts w:cs="Arial"/>
          <w:rtl/>
        </w:rPr>
        <w:t xml:space="preserve"> بالصفر في الصلاة، وهذه أيضاً جعلها السيد الأعظم </w:t>
      </w:r>
      <w:r w:rsidR="006E052D">
        <w:rPr>
          <w:rFonts w:cs="Arial" w:hint="cs"/>
          <w:rtl/>
        </w:rPr>
        <w:t>(رض)</w:t>
      </w:r>
      <w:r w:rsidR="006E052D">
        <w:rPr>
          <w:rFonts w:cs="Arial"/>
          <w:rtl/>
        </w:rPr>
        <w:t xml:space="preserve"> </w:t>
      </w:r>
      <w:r>
        <w:rPr>
          <w:rFonts w:cs="Arial"/>
          <w:rtl/>
        </w:rPr>
        <w:t xml:space="preserve">دليلاً على ضعف الرواية بدعوى أن الصفر لم يقل أحد بحرمته أو كراهته! </w:t>
      </w:r>
    </w:p>
    <w:p w14:paraId="55192049" w14:textId="1FBE4F4C" w:rsidR="009F4AEC" w:rsidRDefault="009F4AEC" w:rsidP="009F4AEC">
      <w:pPr>
        <w:rPr>
          <w:rtl/>
        </w:rPr>
      </w:pPr>
      <w:r>
        <w:rPr>
          <w:rFonts w:cs="Arial"/>
          <w:rtl/>
        </w:rPr>
        <w:t xml:space="preserve">وهذا الاستدلال منه </w:t>
      </w:r>
      <w:r>
        <w:rPr>
          <w:rFonts w:cs="Arial" w:hint="cs"/>
          <w:rtl/>
        </w:rPr>
        <w:t>(رض)</w:t>
      </w:r>
      <w:r>
        <w:rPr>
          <w:rFonts w:cs="Arial"/>
          <w:rtl/>
        </w:rPr>
        <w:t xml:space="preserve"> ليس واضحاً؛ فهذا ليس دليلاً على </w:t>
      </w:r>
      <w:proofErr w:type="spellStart"/>
      <w:r>
        <w:rPr>
          <w:rFonts w:cs="Arial"/>
          <w:rtl/>
        </w:rPr>
        <w:t>على</w:t>
      </w:r>
      <w:proofErr w:type="spellEnd"/>
      <w:r>
        <w:rPr>
          <w:rFonts w:cs="Arial"/>
          <w:rtl/>
        </w:rPr>
        <w:t xml:space="preserve"> ما ادعاه؛ لاحتمالات عديدة فلعل العرف آنذاك ـ بناء على مبناه </w:t>
      </w:r>
      <w:r>
        <w:rPr>
          <w:rFonts w:cs="Arial" w:hint="cs"/>
          <w:rtl/>
        </w:rPr>
        <w:t>(رض)</w:t>
      </w:r>
      <w:r>
        <w:rPr>
          <w:rFonts w:cs="Arial"/>
          <w:rtl/>
        </w:rPr>
        <w:t xml:space="preserve"> في تحكيم العرف في تحديد المصداق ـ يجعل الصفر والحديد في </w:t>
      </w:r>
      <w:proofErr w:type="spellStart"/>
      <w:r>
        <w:rPr>
          <w:rFonts w:cs="Arial"/>
          <w:rtl/>
        </w:rPr>
        <w:t>التختم</w:t>
      </w:r>
      <w:proofErr w:type="spellEnd"/>
      <w:r>
        <w:rPr>
          <w:rFonts w:cs="Arial"/>
          <w:rtl/>
        </w:rPr>
        <w:t xml:space="preserve"> واحداً.</w:t>
      </w:r>
    </w:p>
    <w:p w14:paraId="3FF8669D" w14:textId="77777777" w:rsidR="009F4AEC" w:rsidRDefault="009F4AEC" w:rsidP="009F4AEC">
      <w:pPr>
        <w:rPr>
          <w:rtl/>
        </w:rPr>
      </w:pPr>
      <w:r>
        <w:rPr>
          <w:rFonts w:cs="Arial"/>
          <w:rtl/>
        </w:rPr>
        <w:t>أو لكون الفقهاء لم يفتوا بالحرمة أو الكراهة في الصفر لأدلة أخرى.</w:t>
      </w:r>
    </w:p>
    <w:p w14:paraId="37856390" w14:textId="63920451" w:rsidR="009F4AEC" w:rsidRDefault="009F4AEC" w:rsidP="009F4AEC">
      <w:pPr>
        <w:rPr>
          <w:rtl/>
        </w:rPr>
      </w:pPr>
      <w:r>
        <w:rPr>
          <w:rFonts w:cs="Arial"/>
          <w:rtl/>
        </w:rPr>
        <w:t xml:space="preserve">وكيف ما كان فما ادعاه </w:t>
      </w:r>
      <w:r>
        <w:rPr>
          <w:rFonts w:cs="Arial" w:hint="cs"/>
          <w:rtl/>
        </w:rPr>
        <w:t>(رض)</w:t>
      </w:r>
      <w:r>
        <w:rPr>
          <w:rFonts w:cs="Arial"/>
          <w:rtl/>
        </w:rPr>
        <w:t xml:space="preserve"> لا يوجب طرح الرواية من جهة حديثية؛ لأنها معتبرة.</w:t>
      </w:r>
    </w:p>
    <w:p w14:paraId="13494C94" w14:textId="73E5FC62" w:rsidR="009F4AEC" w:rsidRDefault="009F4AEC" w:rsidP="009F4AEC">
      <w:pPr>
        <w:rPr>
          <w:rtl/>
        </w:rPr>
      </w:pPr>
      <w:r>
        <w:rPr>
          <w:rFonts w:cs="Arial"/>
          <w:rtl/>
        </w:rPr>
        <w:t xml:space="preserve">كما ذكر </w:t>
      </w:r>
      <w:r w:rsidR="006E052D">
        <w:rPr>
          <w:rFonts w:cs="Arial" w:hint="cs"/>
          <w:rtl/>
        </w:rPr>
        <w:t>(رض)</w:t>
      </w:r>
      <w:r w:rsidR="006E052D">
        <w:rPr>
          <w:rFonts w:cs="Arial"/>
          <w:rtl/>
        </w:rPr>
        <w:t xml:space="preserve"> </w:t>
      </w:r>
      <w:r>
        <w:rPr>
          <w:rFonts w:cs="Arial"/>
          <w:rtl/>
        </w:rPr>
        <w:t>وجود روايتين معتبرتين تدلان على النهي، وهما:</w:t>
      </w:r>
    </w:p>
    <w:p w14:paraId="7E0B8541" w14:textId="77777777" w:rsidR="009F4AEC" w:rsidRPr="00A94540" w:rsidRDefault="009F4AEC" w:rsidP="009F4AEC">
      <w:pPr>
        <w:rPr>
          <w:b/>
          <w:bCs/>
          <w:rtl/>
        </w:rPr>
      </w:pPr>
      <w:r>
        <w:rPr>
          <w:rFonts w:cs="Arial"/>
          <w:rtl/>
        </w:rPr>
        <w:t xml:space="preserve">الرواية الأولى من نفس هذا الباب: عن السكوني </w:t>
      </w:r>
      <w:r w:rsidRPr="00A94540">
        <w:rPr>
          <w:rFonts w:cs="Arial"/>
          <w:b/>
          <w:bCs/>
          <w:rtl/>
        </w:rPr>
        <w:t>عن أبي عبد الله (عليه السلام) قال: قال رسول الله (صلى الله عليه وآله) لا يصلي الرجل وفي يده خاتم حديد.</w:t>
      </w:r>
    </w:p>
    <w:p w14:paraId="1B04175C" w14:textId="6297CFB1" w:rsidR="009F4AEC" w:rsidRDefault="009F4AEC" w:rsidP="009F4AEC">
      <w:pPr>
        <w:rPr>
          <w:rtl/>
        </w:rPr>
      </w:pPr>
      <w:r>
        <w:rPr>
          <w:rFonts w:cs="Arial"/>
          <w:rtl/>
        </w:rPr>
        <w:t>والخامسة من</w:t>
      </w:r>
      <w:r w:rsidR="00A94540">
        <w:rPr>
          <w:rFonts w:cs="Arial" w:hint="cs"/>
          <w:rtl/>
        </w:rPr>
        <w:t xml:space="preserve"> </w:t>
      </w:r>
      <w:r>
        <w:rPr>
          <w:rFonts w:cs="Arial"/>
          <w:rtl/>
        </w:rPr>
        <w:t xml:space="preserve">نفس هذا الباب: </w:t>
      </w:r>
      <w:r w:rsidRPr="00A94540">
        <w:rPr>
          <w:rFonts w:cs="Arial"/>
          <w:b/>
          <w:bCs/>
          <w:rtl/>
        </w:rPr>
        <w:t>عن عمار بن موسى، عن أبي عبد الله (عليه السلام)، في الرجل يصلي وعليه خاتم حديد، قال: لا، ولا يتختم به الرجل، فإنه من لباس أهل النار.</w:t>
      </w:r>
    </w:p>
    <w:p w14:paraId="0700EAEF" w14:textId="0F0F8612" w:rsidR="009F4AEC" w:rsidRDefault="009F4AEC" w:rsidP="009F4AEC">
      <w:pPr>
        <w:rPr>
          <w:rtl/>
        </w:rPr>
      </w:pPr>
      <w:r>
        <w:rPr>
          <w:rFonts w:cs="Arial"/>
          <w:rtl/>
        </w:rPr>
        <w:t xml:space="preserve"> ولكنه توقف في الحكم من جهة أنهما خاليتان مما دل على كون الحديد بارزاً</w:t>
      </w:r>
      <w:r w:rsidR="005B2940">
        <w:rPr>
          <w:rFonts w:cs="Arial" w:hint="cs"/>
          <w:rtl/>
        </w:rPr>
        <w:t xml:space="preserve"> بل تعمان البارز وغيره</w:t>
      </w:r>
      <w:r>
        <w:rPr>
          <w:rFonts w:cs="Arial"/>
          <w:rtl/>
        </w:rPr>
        <w:t xml:space="preserve">، </w:t>
      </w:r>
      <w:r w:rsidR="00A94540">
        <w:rPr>
          <w:rFonts w:cs="Arial" w:hint="cs"/>
          <w:rtl/>
        </w:rPr>
        <w:t xml:space="preserve">مع أن </w:t>
      </w:r>
      <w:r>
        <w:rPr>
          <w:rFonts w:cs="Arial"/>
          <w:rtl/>
        </w:rPr>
        <w:t>المذكور في كلمات الأصحاب الذين أفتوا بال</w:t>
      </w:r>
      <w:r w:rsidR="005B2940">
        <w:rPr>
          <w:rFonts w:cs="Arial" w:hint="cs"/>
          <w:rtl/>
        </w:rPr>
        <w:t>كراهة</w:t>
      </w:r>
      <w:r>
        <w:rPr>
          <w:rFonts w:cs="Arial"/>
          <w:rtl/>
        </w:rPr>
        <w:t xml:space="preserve"> أن يكون بارزاً.</w:t>
      </w:r>
    </w:p>
    <w:p w14:paraId="49418361" w14:textId="06779741" w:rsidR="009F4AEC" w:rsidRDefault="009F4AEC" w:rsidP="009F4AEC">
      <w:pPr>
        <w:rPr>
          <w:rtl/>
        </w:rPr>
      </w:pPr>
      <w:r>
        <w:rPr>
          <w:rFonts w:cs="Arial"/>
          <w:rtl/>
        </w:rPr>
        <w:t xml:space="preserve">ولعل منشأ ما ذكره الأصحاب كون ما ورد في الروايات من </w:t>
      </w:r>
      <w:proofErr w:type="spellStart"/>
      <w:r>
        <w:rPr>
          <w:rFonts w:cs="Arial"/>
          <w:rtl/>
        </w:rPr>
        <w:t>مصاديق</w:t>
      </w:r>
      <w:proofErr w:type="spellEnd"/>
      <w:r>
        <w:rPr>
          <w:rFonts w:cs="Arial"/>
          <w:rtl/>
        </w:rPr>
        <w:t xml:space="preserve"> الحديد أمور بارزة كالخاتم، إلا السكين فقد ورد فيه البحث وإن كان غير بارز.</w:t>
      </w:r>
    </w:p>
    <w:p w14:paraId="7159EEAF" w14:textId="7D120D3B" w:rsidR="009F4AEC" w:rsidRDefault="009F4AEC" w:rsidP="009F4AEC">
      <w:pPr>
        <w:rPr>
          <w:rtl/>
        </w:rPr>
      </w:pPr>
      <w:r>
        <w:rPr>
          <w:rFonts w:cs="Arial"/>
          <w:rtl/>
        </w:rPr>
        <w:t xml:space="preserve">فإشكاله على </w:t>
      </w:r>
      <w:r w:rsidR="005B2940">
        <w:rPr>
          <w:rFonts w:cs="Arial" w:hint="cs"/>
          <w:rtl/>
        </w:rPr>
        <w:t>استدلال الأعلام بهما</w:t>
      </w:r>
      <w:r>
        <w:rPr>
          <w:rFonts w:cs="Arial"/>
          <w:rtl/>
        </w:rPr>
        <w:t xml:space="preserve"> غير واضح.</w:t>
      </w:r>
    </w:p>
    <w:p w14:paraId="2226B699" w14:textId="4B9CB113" w:rsidR="009F4AEC" w:rsidRDefault="009F4AEC" w:rsidP="009F4AEC">
      <w:pPr>
        <w:rPr>
          <w:rtl/>
        </w:rPr>
      </w:pPr>
      <w:r>
        <w:rPr>
          <w:rFonts w:cs="Arial"/>
          <w:rtl/>
        </w:rPr>
        <w:t xml:space="preserve">كما ذكر </w:t>
      </w:r>
      <w:r w:rsidR="00A94540">
        <w:rPr>
          <w:rFonts w:cs="Arial" w:hint="cs"/>
          <w:rtl/>
        </w:rPr>
        <w:t>(رض)</w:t>
      </w:r>
      <w:r w:rsidR="00A94540">
        <w:rPr>
          <w:rFonts w:cs="Arial"/>
          <w:rtl/>
        </w:rPr>
        <w:t xml:space="preserve"> </w:t>
      </w:r>
      <w:r>
        <w:rPr>
          <w:rFonts w:cs="Arial"/>
          <w:rtl/>
        </w:rPr>
        <w:t>أن هناك رواية معتبرة عارضت هاتين الروايتين:</w:t>
      </w:r>
    </w:p>
    <w:p w14:paraId="4237CB59" w14:textId="1480B6B9" w:rsidR="009F4AEC" w:rsidRDefault="005B2940" w:rsidP="009F4AEC">
      <w:pPr>
        <w:rPr>
          <w:rtl/>
        </w:rPr>
      </w:pPr>
      <w:r>
        <w:rPr>
          <w:rFonts w:cs="Arial" w:hint="cs"/>
          <w:rtl/>
        </w:rPr>
        <w:t xml:space="preserve">وهي </w:t>
      </w:r>
      <w:r w:rsidR="009F4AEC">
        <w:rPr>
          <w:rFonts w:cs="Arial"/>
          <w:rtl/>
        </w:rPr>
        <w:t>الراوية الثالثة من الباب الثالث والخمسين من أبواب لباس المصلي:</w:t>
      </w:r>
    </w:p>
    <w:p w14:paraId="225D3B64" w14:textId="7180DEE9" w:rsidR="009F4AEC" w:rsidRDefault="009F4AEC" w:rsidP="009F4AEC">
      <w:pPr>
        <w:rPr>
          <w:rFonts w:cs="Arial"/>
          <w:b/>
          <w:bCs/>
          <w:rtl/>
        </w:rPr>
      </w:pPr>
      <w:r w:rsidRPr="005B2940">
        <w:rPr>
          <w:rFonts w:cs="Arial"/>
          <w:b/>
          <w:bCs/>
          <w:rtl/>
        </w:rPr>
        <w:t>عن عبد الله بن سنان قال: سئل أبو عبد الله (عليه السلام) عن رجل ليس معه إلا سراويل؟ قال يحل التكة منه فيطرحها على عاتقه ويصلي، قال: وإن كان معه سيف وليس معه ثوب فليتقلد السيف ويصلي قائماَ.</w:t>
      </w:r>
    </w:p>
    <w:p w14:paraId="71C4A1A2" w14:textId="6ADC2626" w:rsidR="002942B2" w:rsidRDefault="00DD4505" w:rsidP="009F4AEC">
      <w:pPr>
        <w:rPr>
          <w:rFonts w:cs="Arial"/>
          <w:rtl/>
        </w:rPr>
      </w:pPr>
      <w:r>
        <w:rPr>
          <w:rFonts w:cs="Arial" w:hint="cs"/>
          <w:rtl/>
        </w:rPr>
        <w:lastRenderedPageBreak/>
        <w:t>ولكن التأمل في ذيل الرواية وبقرينة حمل السيف يجعلنا نحمل الرواية على حالة الخوف، لا مطلقاً، وإلا فالسيف لا يصح أن يكون ساتراً كما لا يخفى.</w:t>
      </w:r>
    </w:p>
    <w:p w14:paraId="3BE81FAF" w14:textId="6F2F70B6" w:rsidR="00DD4505" w:rsidRDefault="00DD4505" w:rsidP="009F4AEC">
      <w:pPr>
        <w:rPr>
          <w:rFonts w:cs="Arial"/>
          <w:rtl/>
        </w:rPr>
      </w:pPr>
      <w:r>
        <w:rPr>
          <w:rFonts w:cs="Arial" w:hint="cs"/>
          <w:rtl/>
        </w:rPr>
        <w:t>وعليه فجعلها معارضة لتينك الروايتين غير واضح</w:t>
      </w:r>
      <w:r w:rsidR="00C533A0">
        <w:rPr>
          <w:rFonts w:cs="Arial" w:hint="cs"/>
          <w:rtl/>
        </w:rPr>
        <w:t>، بل هي خارجة عن محل البحث</w:t>
      </w:r>
      <w:r>
        <w:rPr>
          <w:rFonts w:cs="Arial" w:hint="cs"/>
          <w:rtl/>
        </w:rPr>
        <w:t>.</w:t>
      </w:r>
    </w:p>
    <w:p w14:paraId="1FDB3F93" w14:textId="77777777" w:rsidR="00DC0AFB" w:rsidRDefault="00BB686B" w:rsidP="009F4AEC">
      <w:pPr>
        <w:rPr>
          <w:rFonts w:cs="Arial"/>
          <w:rtl/>
        </w:rPr>
      </w:pPr>
      <w:r>
        <w:rPr>
          <w:rFonts w:cs="Arial" w:hint="cs"/>
          <w:rtl/>
        </w:rPr>
        <w:t xml:space="preserve">مضافاً إلى ما ناقشناه عدة مرات </w:t>
      </w:r>
      <w:r w:rsidR="00335F26">
        <w:rPr>
          <w:rFonts w:cs="Arial" w:hint="cs"/>
          <w:rtl/>
        </w:rPr>
        <w:t xml:space="preserve">من حمل الفقهاء الروايات الدالة على الحرمة إذا كانت ضعيفة على الكراهة، فكلا الكراهة والحرمة حكم شرعي، </w:t>
      </w:r>
      <w:r w:rsidR="00DC0AFB">
        <w:rPr>
          <w:rFonts w:cs="Arial" w:hint="cs"/>
          <w:rtl/>
        </w:rPr>
        <w:t>فضعف سند الرواية لا يبدل مدلولها من الحرمة إلى الكراهة كما التزم الفقهاء ومنهم سيدنا الأعظم (رض) في بعض كلماته.</w:t>
      </w:r>
    </w:p>
    <w:p w14:paraId="3B82A634" w14:textId="77777777" w:rsidR="00612C8D" w:rsidRDefault="00DC0AFB" w:rsidP="009F4AEC">
      <w:pPr>
        <w:rPr>
          <w:rFonts w:cs="Arial"/>
          <w:rtl/>
        </w:rPr>
      </w:pPr>
      <w:r>
        <w:rPr>
          <w:rFonts w:cs="Arial" w:hint="cs"/>
          <w:rtl/>
        </w:rPr>
        <w:t xml:space="preserve">كيف ما كان فالرواية دالة على حرمة </w:t>
      </w:r>
      <w:proofErr w:type="spellStart"/>
      <w:r w:rsidR="00345997">
        <w:rPr>
          <w:rFonts w:cs="Arial" w:hint="cs"/>
          <w:rtl/>
        </w:rPr>
        <w:t>التختم</w:t>
      </w:r>
      <w:proofErr w:type="spellEnd"/>
      <w:r w:rsidR="00345997">
        <w:rPr>
          <w:rFonts w:cs="Arial" w:hint="cs"/>
          <w:rtl/>
        </w:rPr>
        <w:t xml:space="preserve"> بالحديد وبالصفر ونحن نلتزم بذلك.</w:t>
      </w:r>
    </w:p>
    <w:p w14:paraId="6602E945" w14:textId="736F8ADB" w:rsidR="00612C8D" w:rsidRDefault="00612C8D" w:rsidP="009F4AEC">
      <w:pPr>
        <w:rPr>
          <w:rFonts w:cs="Arial"/>
          <w:rtl/>
        </w:rPr>
      </w:pPr>
      <w:r>
        <w:rPr>
          <w:rFonts w:cs="Arial" w:hint="cs"/>
          <w:rtl/>
        </w:rPr>
        <w:t xml:space="preserve">والنتيجة أنا لا نوافق </w:t>
      </w:r>
      <w:proofErr w:type="spellStart"/>
      <w:r>
        <w:rPr>
          <w:rFonts w:cs="Arial" w:hint="cs"/>
          <w:rtl/>
        </w:rPr>
        <w:t>اليزدي</w:t>
      </w:r>
      <w:proofErr w:type="spellEnd"/>
      <w:r>
        <w:rPr>
          <w:rFonts w:cs="Arial" w:hint="cs"/>
          <w:rtl/>
        </w:rPr>
        <w:t xml:space="preserve"> (رض) في حكم الكراهة</w:t>
      </w:r>
      <w:r w:rsidR="002A3777">
        <w:rPr>
          <w:rFonts w:cs="Arial" w:hint="cs"/>
          <w:rtl/>
        </w:rPr>
        <w:t xml:space="preserve">، بل حرمة </w:t>
      </w:r>
      <w:proofErr w:type="spellStart"/>
      <w:r w:rsidR="002A3777">
        <w:rPr>
          <w:rFonts w:cs="Arial" w:hint="cs"/>
          <w:rtl/>
        </w:rPr>
        <w:t>التختم</w:t>
      </w:r>
      <w:proofErr w:type="spellEnd"/>
      <w:r w:rsidR="002A3777">
        <w:rPr>
          <w:rFonts w:cs="Arial" w:hint="cs"/>
          <w:rtl/>
        </w:rPr>
        <w:t xml:space="preserve"> بالحديد مطلقاً سواء كان بارزاً أم لا، والعلم عند الله وعند الراسخين في العلم والحمد لله رب العالمين.</w:t>
      </w:r>
    </w:p>
    <w:p w14:paraId="392D92E1" w14:textId="77777777" w:rsidR="002A3777" w:rsidRDefault="002A3777" w:rsidP="009F4AEC">
      <w:pPr>
        <w:rPr>
          <w:rFonts w:cs="Arial"/>
          <w:rtl/>
        </w:rPr>
      </w:pPr>
    </w:p>
    <w:p w14:paraId="66C447C0" w14:textId="2C9B89D1" w:rsidR="00BB686B" w:rsidRDefault="00335F26" w:rsidP="009F4AEC">
      <w:pPr>
        <w:rPr>
          <w:rFonts w:cs="Arial"/>
          <w:rtl/>
        </w:rPr>
      </w:pPr>
      <w:r>
        <w:rPr>
          <w:rFonts w:cs="Arial" w:hint="cs"/>
          <w:rtl/>
        </w:rPr>
        <w:t xml:space="preserve"> </w:t>
      </w:r>
    </w:p>
    <w:p w14:paraId="5CD4CD7D" w14:textId="77777777" w:rsidR="00DD4505" w:rsidRPr="00DD4505" w:rsidRDefault="00DD4505" w:rsidP="009F4AEC">
      <w:pPr>
        <w:rPr>
          <w:rtl/>
        </w:rPr>
      </w:pPr>
    </w:p>
    <w:p w14:paraId="50B21756" w14:textId="212B5BD8" w:rsidR="009F4AEC" w:rsidRDefault="009F4AEC" w:rsidP="009F4AEC">
      <w:pPr>
        <w:rPr>
          <w:rtl/>
        </w:rPr>
      </w:pPr>
    </w:p>
    <w:sectPr w:rsidR="009F4AEC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AEC"/>
    <w:rsid w:val="002942B2"/>
    <w:rsid w:val="002A3777"/>
    <w:rsid w:val="00306F07"/>
    <w:rsid w:val="00335F26"/>
    <w:rsid w:val="00345997"/>
    <w:rsid w:val="00431E73"/>
    <w:rsid w:val="005B2940"/>
    <w:rsid w:val="005F72A1"/>
    <w:rsid w:val="00612C8D"/>
    <w:rsid w:val="006E052D"/>
    <w:rsid w:val="00811EC9"/>
    <w:rsid w:val="00920995"/>
    <w:rsid w:val="009F4AEC"/>
    <w:rsid w:val="00A94540"/>
    <w:rsid w:val="00AE603B"/>
    <w:rsid w:val="00BB686B"/>
    <w:rsid w:val="00C533A0"/>
    <w:rsid w:val="00DC0AFB"/>
    <w:rsid w:val="00DD4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5B47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F4A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F4A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F4AE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F4A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F4AE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F4A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F4A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F4A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F4A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F4AE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F4AE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F4AE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F4AE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F4AE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F4AE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F4AE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F4AE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F4A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F4A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F4A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F4AE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F4A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F4AE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F4AE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F4AE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F4AE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F4AE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F4AE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F4AEC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F4A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F4A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F4AE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F4A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F4AE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F4A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F4A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F4A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F4A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F4AE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F4AE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F4AE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F4AE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F4AE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F4AE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F4AE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F4AE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F4A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F4A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F4A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F4AE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F4A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F4AE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F4AE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F4AE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F4AE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F4AE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F4AE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F4AE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</cp:revision>
  <dcterms:created xsi:type="dcterms:W3CDTF">2025-02-15T20:44:00Z</dcterms:created>
  <dcterms:modified xsi:type="dcterms:W3CDTF">2025-02-16T04:45:00Z</dcterms:modified>
</cp:coreProperties>
</file>